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B6A8" w14:textId="77777777" w:rsidR="0019213D" w:rsidRDefault="0019213D" w:rsidP="008674FA">
      <w:pPr>
        <w:pStyle w:val="Heading1"/>
        <w:tabs>
          <w:tab w:val="center" w:pos="4442"/>
        </w:tabs>
      </w:pPr>
      <w:bookmarkStart w:id="0" w:name="_Toc5014713"/>
      <w:bookmarkStart w:id="1" w:name="_Toc5014613"/>
      <w:bookmarkStart w:id="2" w:name="_Toc529973095"/>
      <w:r w:rsidRPr="005576D0">
        <w:t xml:space="preserve">Annex 1 to Part </w:t>
      </w:r>
      <w:r w:rsidRPr="008674FA">
        <w:t>2</w:t>
      </w:r>
      <w:bookmarkEnd w:id="0"/>
      <w:bookmarkEnd w:id="1"/>
      <w:r w:rsidRPr="008674FA">
        <w:t>4:</w:t>
      </w:r>
      <w:r w:rsidR="00D43CAE" w:rsidRPr="00910E67">
        <w:t xml:space="preserve"> </w:t>
      </w:r>
    </w:p>
    <w:p w14:paraId="3911B6A9" w14:textId="77777777" w:rsidR="00C13C1B" w:rsidRDefault="00C13C1B" w:rsidP="00C13C1B">
      <w:pPr>
        <w:pStyle w:val="Heading1"/>
        <w:rPr>
          <w:bCs/>
        </w:rPr>
      </w:pPr>
    </w:p>
    <w:p w14:paraId="3911B6AA" w14:textId="77777777" w:rsidR="0019213D" w:rsidRPr="00436BBA" w:rsidRDefault="0019213D" w:rsidP="00C13C1B">
      <w:pPr>
        <w:pStyle w:val="Heading1"/>
      </w:pPr>
      <w:r w:rsidRPr="00436BBA">
        <w:rPr>
          <w:bCs/>
        </w:rPr>
        <w:t xml:space="preserve">Procedure for dealing with planning applications at </w:t>
      </w:r>
      <w:r w:rsidR="00EC6F81" w:rsidRPr="002148D2">
        <w:rPr>
          <w:bCs/>
        </w:rPr>
        <w:t>Oxford City Planning Committee</w:t>
      </w:r>
      <w:r w:rsidRPr="002148D2">
        <w:rPr>
          <w:bCs/>
        </w:rPr>
        <w:t xml:space="preserve"> </w:t>
      </w:r>
      <w:r w:rsidRPr="00436BBA">
        <w:rPr>
          <w:bCs/>
        </w:rPr>
        <w:t>and Planning Review Committee</w:t>
      </w:r>
    </w:p>
    <w:p w14:paraId="3911B6AB" w14:textId="77777777" w:rsidR="0019213D" w:rsidRDefault="0019213D" w:rsidP="00C13C1B">
      <w:pPr>
        <w:pStyle w:val="dNormParatext"/>
      </w:pPr>
    </w:p>
    <w:bookmarkEnd w:id="2"/>
    <w:p w14:paraId="3911B6AC" w14:textId="77777777" w:rsidR="00D43CAE" w:rsidRPr="00C13C1B" w:rsidRDefault="00D43CAE" w:rsidP="00C13C1B">
      <w:pPr>
        <w:pStyle w:val="dNormParatext"/>
      </w:pPr>
      <w:r w:rsidRPr="00C13C1B">
        <w:t>Planning controls the development and use of land in the public interest.</w:t>
      </w:r>
      <w:r w:rsidR="00D70A25">
        <w:t xml:space="preserve"> </w:t>
      </w:r>
      <w:r w:rsidRPr="00C13C1B">
        <w:t>Applications must be determined in accordance with the Council’s adopted policies, unless material planning cons</w:t>
      </w:r>
      <w:r w:rsidR="00C13C1B">
        <w:t xml:space="preserve">iderations indicate otherwise. </w:t>
      </w:r>
      <w:r w:rsidRPr="00C13C1B">
        <w:t>The Committee must be conducted in an order</w:t>
      </w:r>
      <w:r w:rsidR="00C13C1B">
        <w:t xml:space="preserve">ly, fair and impartial manner. </w:t>
      </w:r>
      <w:r w:rsidRPr="00C13C1B">
        <w:t>Advice on bias, predetermination and declarations of interests is available from the Monitoring Officer.</w:t>
      </w:r>
    </w:p>
    <w:p w14:paraId="3911B6AD" w14:textId="77777777" w:rsidR="00D43CAE" w:rsidRPr="00C13C1B" w:rsidRDefault="00D43CAE" w:rsidP="00D70A25">
      <w:pPr>
        <w:pStyle w:val="Heading2"/>
        <w:numPr>
          <w:ilvl w:val="0"/>
          <w:numId w:val="0"/>
        </w:numPr>
      </w:pPr>
      <w:r w:rsidRPr="00C13C1B">
        <w:t>The following minimum standards of practice will be followed</w:t>
      </w:r>
      <w:r w:rsidR="00564525" w:rsidRPr="00C13C1B">
        <w:t>:</w:t>
      </w:r>
    </w:p>
    <w:p w14:paraId="3911B6AE" w14:textId="77777777" w:rsidR="00D43CAE" w:rsidRDefault="00D43CAE" w:rsidP="00C13C1B">
      <w:pPr>
        <w:pStyle w:val="dNormParatext"/>
        <w:numPr>
          <w:ilvl w:val="0"/>
          <w:numId w:val="22"/>
        </w:numPr>
      </w:pPr>
      <w:r w:rsidRPr="00910E67">
        <w:t xml:space="preserve">All </w:t>
      </w:r>
      <w:r w:rsidR="00BF2FEA">
        <w:t xml:space="preserve">members of the Committee </w:t>
      </w:r>
      <w:r w:rsidRPr="00910E67">
        <w:t>will have pre-read the officers’ report.</w:t>
      </w:r>
      <w:r w:rsidR="00D70A25">
        <w:t xml:space="preserve"> </w:t>
      </w:r>
      <w:r w:rsidR="00BF2FEA">
        <w:t>Committee m</w:t>
      </w:r>
      <w:r w:rsidR="00BF2FEA" w:rsidRPr="00910E67">
        <w:t xml:space="preserve">embers </w:t>
      </w:r>
      <w:r w:rsidRPr="00910E67">
        <w:t>are also encouraged to view any supporting material and to visit the site if th</w:t>
      </w:r>
      <w:r w:rsidR="00C13C1B">
        <w:t xml:space="preserve">ey feel that would be helpful. </w:t>
      </w:r>
      <w:r w:rsidRPr="00910E67">
        <w:t>(In accordance with the</w:t>
      </w:r>
      <w:r w:rsidR="002B23FB">
        <w:t xml:space="preserve"> guidance at 24.15 of </w:t>
      </w:r>
      <w:r w:rsidRPr="00910E67">
        <w:t>the Planning Code of Practice).</w:t>
      </w:r>
    </w:p>
    <w:p w14:paraId="3911B6AF" w14:textId="77777777" w:rsidR="00D43CAE" w:rsidRDefault="00D43CAE" w:rsidP="00C13C1B">
      <w:pPr>
        <w:pStyle w:val="dNormParatext"/>
        <w:numPr>
          <w:ilvl w:val="0"/>
          <w:numId w:val="22"/>
        </w:numPr>
      </w:pPr>
      <w:r w:rsidRPr="00910E67">
        <w:t>At the meeting the Chair may draw attention to this</w:t>
      </w:r>
      <w:r w:rsidR="002B23FB">
        <w:t xml:space="preserve"> procedure</w:t>
      </w:r>
      <w:r w:rsidR="00C13C1B">
        <w:t xml:space="preserve">. </w:t>
      </w:r>
      <w:r w:rsidRPr="00910E67">
        <w:t xml:space="preserve">The Chair will </w:t>
      </w:r>
      <w:r w:rsidR="004A3F92">
        <w:t xml:space="preserve">also explain who is entitled to </w:t>
      </w:r>
      <w:r w:rsidRPr="00910E67">
        <w:t>vote.</w:t>
      </w:r>
    </w:p>
    <w:p w14:paraId="3911B6B0" w14:textId="77777777" w:rsidR="004A3F92" w:rsidRPr="00910E67" w:rsidRDefault="004A3F92" w:rsidP="004A3F92">
      <w:pPr>
        <w:pStyle w:val="ListParagraph"/>
        <w:numPr>
          <w:ilvl w:val="0"/>
          <w:numId w:val="0"/>
        </w:numPr>
        <w:ind w:left="360"/>
      </w:pPr>
    </w:p>
    <w:p w14:paraId="3911B6B1" w14:textId="77777777" w:rsidR="00D43CAE" w:rsidRPr="00910E67" w:rsidRDefault="00D43CAE" w:rsidP="00C13C1B">
      <w:pPr>
        <w:pStyle w:val="dNormParatext"/>
        <w:numPr>
          <w:ilvl w:val="0"/>
          <w:numId w:val="22"/>
        </w:numPr>
      </w:pPr>
      <w:r w:rsidRPr="00910E67">
        <w:t xml:space="preserve">The sequence for each application discussed at Committee shall be as follows: </w:t>
      </w:r>
    </w:p>
    <w:p w14:paraId="3911B6B2" w14:textId="77777777" w:rsidR="00D43CAE" w:rsidRPr="00484BB3" w:rsidRDefault="00D43CAE" w:rsidP="00484BB3">
      <w:pPr>
        <w:pStyle w:val="dLetterLettPara"/>
      </w:pPr>
      <w:r w:rsidRPr="00484BB3">
        <w:t xml:space="preserve">the </w:t>
      </w:r>
      <w:r w:rsidR="00EB3194" w:rsidRPr="00484BB3">
        <w:t xml:space="preserve">planning officer </w:t>
      </w:r>
      <w:r w:rsidRPr="00484BB3">
        <w:t>will introduc</w:t>
      </w:r>
      <w:r w:rsidR="00C13C1B" w:rsidRPr="00484BB3">
        <w:t>e it with a short presentation;</w:t>
      </w:r>
    </w:p>
    <w:p w14:paraId="3911B6B3" w14:textId="77777777" w:rsidR="00D43CAE" w:rsidRPr="00484BB3" w:rsidRDefault="00D43CAE" w:rsidP="00484BB3">
      <w:pPr>
        <w:pStyle w:val="dLetterLettPara"/>
      </w:pPr>
      <w:r w:rsidRPr="00484BB3">
        <w:t>any objectors may spea</w:t>
      </w:r>
      <w:r w:rsidR="00C13C1B" w:rsidRPr="00484BB3">
        <w:t>k for up to 5 minutes in total;</w:t>
      </w:r>
    </w:p>
    <w:p w14:paraId="3911B6B4" w14:textId="77777777" w:rsidR="00D43CAE" w:rsidRPr="00484BB3" w:rsidRDefault="00D43CAE" w:rsidP="00484BB3">
      <w:pPr>
        <w:pStyle w:val="dLetterLettPara"/>
      </w:pPr>
      <w:r w:rsidRPr="00484BB3">
        <w:t>any supporters may speak for up to 5 minutes in total;</w:t>
      </w:r>
    </w:p>
    <w:p w14:paraId="3911B6B5" w14:textId="77777777" w:rsidR="00D43CAE" w:rsidRPr="00484BB3" w:rsidRDefault="00D43CAE" w:rsidP="00484BB3">
      <w:pPr>
        <w:pStyle w:val="dLetterLettPara"/>
      </w:pPr>
      <w:r w:rsidRPr="00484BB3">
        <w:t>speaking times may be extended by the Chair, provided that equa</w:t>
      </w:r>
      <w:r w:rsidR="00C13C1B" w:rsidRPr="00484BB3">
        <w:t xml:space="preserve">l time is given to both sides. </w:t>
      </w:r>
      <w:r w:rsidRPr="00484BB3">
        <w:t>Any non-voting City Councillors and/or Parish and County Councillors who may wish to speak for or against the application will have to do so as part of the two 5-minute slots mentioned above;</w:t>
      </w:r>
    </w:p>
    <w:p w14:paraId="3911B6B6" w14:textId="77777777" w:rsidR="00D43CAE" w:rsidRPr="00484BB3" w:rsidRDefault="00D43CAE" w:rsidP="00484BB3">
      <w:pPr>
        <w:pStyle w:val="dLetterLettPara"/>
      </w:pPr>
      <w:r w:rsidRPr="00484BB3">
        <w:t>voting members of the Committee may raise questions (which shall be directed via the Chair to the</w:t>
      </w:r>
      <w:r w:rsidR="00D70A25">
        <w:t xml:space="preserve"> </w:t>
      </w:r>
      <w:r w:rsidRPr="00484BB3">
        <w:t xml:space="preserve">lead officer presenting the application, who may pass them to other relevant </w:t>
      </w:r>
      <w:r w:rsidR="00EB3194" w:rsidRPr="00484BB3">
        <w:t xml:space="preserve">officers </w:t>
      </w:r>
      <w:r w:rsidRPr="00484BB3">
        <w:t xml:space="preserve">and/or other speakers); and </w:t>
      </w:r>
    </w:p>
    <w:p w14:paraId="3911B6B7" w14:textId="77777777" w:rsidR="00D43CAE" w:rsidRDefault="00D43CAE" w:rsidP="00484BB3">
      <w:pPr>
        <w:pStyle w:val="dLetterLettPara"/>
      </w:pPr>
      <w:r w:rsidRPr="00484BB3">
        <w:t xml:space="preserve">voting members will debate and determine the application. </w:t>
      </w:r>
    </w:p>
    <w:p w14:paraId="3911B6B8" w14:textId="77777777" w:rsidR="004A3F92" w:rsidRPr="00484BB3" w:rsidRDefault="004A3F92" w:rsidP="004A3F92">
      <w:pPr>
        <w:pStyle w:val="dLetterLettPara"/>
        <w:numPr>
          <w:ilvl w:val="0"/>
          <w:numId w:val="0"/>
        </w:numPr>
        <w:ind w:left="993"/>
      </w:pPr>
    </w:p>
    <w:p w14:paraId="3911B6B9" w14:textId="77777777" w:rsidR="001528B3" w:rsidRPr="00910E67" w:rsidRDefault="001528B3" w:rsidP="00C13C1B">
      <w:pPr>
        <w:pStyle w:val="dNormParatext"/>
        <w:numPr>
          <w:ilvl w:val="0"/>
          <w:numId w:val="22"/>
        </w:numPr>
      </w:pPr>
      <w:r>
        <w:t>In determining an application Committee m</w:t>
      </w:r>
      <w:r w:rsidRPr="00910E67">
        <w:t>embers should not:</w:t>
      </w:r>
    </w:p>
    <w:p w14:paraId="3911B6BA" w14:textId="77777777" w:rsidR="001528B3" w:rsidRPr="00484BB3" w:rsidRDefault="001528B3" w:rsidP="00484BB3">
      <w:pPr>
        <w:pStyle w:val="dLetterLettPara"/>
        <w:numPr>
          <w:ilvl w:val="0"/>
          <w:numId w:val="30"/>
        </w:numPr>
        <w:ind w:left="993" w:hanging="426"/>
      </w:pPr>
      <w:r w:rsidRPr="00484BB3">
        <w:t>rely on considerations which are not material planning considerations in law;</w:t>
      </w:r>
    </w:p>
    <w:p w14:paraId="3911B6BB" w14:textId="77777777" w:rsidR="001528B3" w:rsidRPr="00484BB3" w:rsidRDefault="001528B3" w:rsidP="00484BB3">
      <w:pPr>
        <w:pStyle w:val="dLetterLettPara"/>
      </w:pPr>
      <w:r w:rsidRPr="00484BB3">
        <w:t xml:space="preserve">question the personal integrity or professionalism of officers in public; </w:t>
      </w:r>
    </w:p>
    <w:p w14:paraId="3911B6BC" w14:textId="77777777" w:rsidR="001528B3" w:rsidRPr="00484BB3" w:rsidRDefault="001528B3" w:rsidP="00484BB3">
      <w:pPr>
        <w:pStyle w:val="dLetterLettPara"/>
      </w:pPr>
      <w:r w:rsidRPr="00484BB3">
        <w:t>proceed to a vote if minded to determine an application against officer’s</w:t>
      </w:r>
      <w:r w:rsidR="00D70A25">
        <w:t xml:space="preserve"> </w:t>
      </w:r>
      <w:r w:rsidRPr="00484BB3">
        <w:t xml:space="preserve">recommendation until the reasons for overturning the officer’s recommendation have been formulated including the reasons for refusal or the wording of any planning conditions; or </w:t>
      </w:r>
    </w:p>
    <w:p w14:paraId="3911B6BD" w14:textId="77777777" w:rsidR="001528B3" w:rsidRDefault="001528B3" w:rsidP="00484BB3">
      <w:pPr>
        <w:pStyle w:val="dLetterLettPara"/>
      </w:pPr>
      <w:r w:rsidRPr="00484BB3">
        <w:t>seek to re-design, or negotiate amendments to, an application. The Committee must determine applications as they stand and may impose appropriate conditions.</w:t>
      </w:r>
    </w:p>
    <w:p w14:paraId="3911B6BE" w14:textId="77777777" w:rsidR="00D43CAE" w:rsidRPr="00910E67" w:rsidRDefault="00D43CAE" w:rsidP="00D70A25">
      <w:pPr>
        <w:pStyle w:val="Heading2"/>
      </w:pPr>
      <w:r w:rsidRPr="00910E67">
        <w:lastRenderedPageBreak/>
        <w:t>Public requests to speak</w:t>
      </w:r>
    </w:p>
    <w:p w14:paraId="3911B6BF" w14:textId="77777777" w:rsidR="00D43CAE" w:rsidRPr="00910E67" w:rsidRDefault="00D43CAE" w:rsidP="00C13C1B">
      <w:pPr>
        <w:pStyle w:val="dNormParatext"/>
      </w:pPr>
      <w:r w:rsidRPr="00910E67">
        <w:t xml:space="preserve">Members of the public wishing to speak must notify the </w:t>
      </w:r>
      <w:r w:rsidR="00BF2FEA">
        <w:t xml:space="preserve">Committee and Member </w:t>
      </w:r>
      <w:r w:rsidRPr="00910E67">
        <w:t xml:space="preserve">Services Officer by noon on the working day before the meeting, giving their name, the application/agenda item they wish to speak on and whether they are objecting to </w:t>
      </w:r>
      <w:r w:rsidR="00C13C1B">
        <w:t xml:space="preserve">or supporting the application. </w:t>
      </w:r>
      <w:r w:rsidRPr="00910E67">
        <w:t xml:space="preserve">Notifications can be made via e-mail or telephone, to the </w:t>
      </w:r>
      <w:r w:rsidR="00BF2FEA">
        <w:t xml:space="preserve">Committee and Member </w:t>
      </w:r>
      <w:r w:rsidRPr="00910E67">
        <w:t>Services Officer (whose details are on the front of the Committee agenda</w:t>
      </w:r>
      <w:r>
        <w:t>)</w:t>
      </w:r>
      <w:r w:rsidRPr="00910E67">
        <w:t>.</w:t>
      </w:r>
    </w:p>
    <w:p w14:paraId="3911B6C0" w14:textId="77777777" w:rsidR="00D43CAE" w:rsidRPr="00D70A25" w:rsidRDefault="00D43CAE" w:rsidP="00D70A25">
      <w:pPr>
        <w:pStyle w:val="Heading2"/>
      </w:pPr>
      <w:r w:rsidRPr="00D70A25">
        <w:t>Written statements from the public</w:t>
      </w:r>
    </w:p>
    <w:p w14:paraId="3911B6C1" w14:textId="77777777" w:rsidR="00D43CAE" w:rsidRPr="00910E67" w:rsidRDefault="00D43CAE" w:rsidP="00C13C1B">
      <w:pPr>
        <w:pStyle w:val="dNormParatext"/>
      </w:pPr>
      <w:r w:rsidRPr="00910E67">
        <w:t xml:space="preserve">Any written statement that members of the public </w:t>
      </w:r>
      <w:r w:rsidR="002B23FB">
        <w:t xml:space="preserve">or </w:t>
      </w:r>
      <w:r w:rsidRPr="00910E67">
        <w:t xml:space="preserve">Councillors wish to be considered should be sent to the planning officer by noon two working days </w:t>
      </w:r>
      <w:r w:rsidR="00C13C1B">
        <w:t xml:space="preserve">before the day of the meeting. </w:t>
      </w:r>
      <w:r w:rsidRPr="00910E67">
        <w:t>The planning officer will report these at the meeting.</w:t>
      </w:r>
      <w:r w:rsidR="00D70A25">
        <w:t xml:space="preserve"> </w:t>
      </w:r>
      <w:r w:rsidRPr="00910E67">
        <w:t>Material received from the public at the meeting will not be accepted or circulated, as Councillors are unable to give proper consideration to the new information and officers may not be able to check for accuracy or provide considered advice on any m</w:t>
      </w:r>
      <w:r w:rsidR="00C13C1B">
        <w:t xml:space="preserve">aterial consideration arising. </w:t>
      </w:r>
      <w:r w:rsidRPr="00910E67">
        <w:t>Any such material will not be displayed or shown at the meeting.</w:t>
      </w:r>
    </w:p>
    <w:p w14:paraId="3911B6C2" w14:textId="77777777" w:rsidR="00D43CAE" w:rsidRPr="00D70A25" w:rsidRDefault="00D43CAE" w:rsidP="00D70A25">
      <w:pPr>
        <w:pStyle w:val="Heading2"/>
        <w:rPr>
          <w:rStyle w:val="dNormParatextChar"/>
          <w:rFonts w:ascii="Arial Bold" w:hAnsi="Arial Bold" w:cs="Arial"/>
        </w:rPr>
      </w:pPr>
      <w:r w:rsidRPr="00D70A25">
        <w:rPr>
          <w:rStyle w:val="dNormParatextChar"/>
          <w:rFonts w:ascii="Arial Bold" w:hAnsi="Arial Bold" w:cs="Arial"/>
        </w:rPr>
        <w:t>Exhibiting model and displays at the meeting</w:t>
      </w:r>
    </w:p>
    <w:p w14:paraId="3911B6C3" w14:textId="77777777" w:rsidR="00D43CAE" w:rsidRDefault="00D43CAE" w:rsidP="00C13C1B">
      <w:pPr>
        <w:pStyle w:val="dNormParatext"/>
      </w:pPr>
      <w:r w:rsidRPr="00910E67">
        <w:t xml:space="preserve">Applicants or members of the public can exhibit models or displays </w:t>
      </w:r>
      <w:r w:rsidR="005674FF">
        <w:t xml:space="preserve">of photos and/or pictures </w:t>
      </w:r>
      <w:r w:rsidRPr="00910E67">
        <w:t xml:space="preserve">at the meeting </w:t>
      </w:r>
      <w:r w:rsidR="005674FF">
        <w:t xml:space="preserve">or a room provided for that purpose </w:t>
      </w:r>
      <w:r w:rsidRPr="00910E67">
        <w:t xml:space="preserve">as long as they notify the </w:t>
      </w:r>
      <w:r w:rsidR="00BF2FEA">
        <w:t xml:space="preserve">Committee and Member </w:t>
      </w:r>
      <w:r w:rsidRPr="00910E67">
        <w:t xml:space="preserve">Services Officer of their intention by </w:t>
      </w:r>
      <w:r w:rsidR="005674FF">
        <w:t>12</w:t>
      </w:r>
      <w:r w:rsidRPr="00910E67">
        <w:t>noon, two working days before the start of the meeting so that members can be notified.</w:t>
      </w:r>
    </w:p>
    <w:p w14:paraId="3911B6C4" w14:textId="77777777" w:rsidR="005674FF" w:rsidRPr="00910E67" w:rsidRDefault="005674FF" w:rsidP="00C13C1B">
      <w:pPr>
        <w:pStyle w:val="dNormParatext"/>
      </w:pPr>
      <w:r>
        <w:t>Applicants or members of the public are not permitted to exhibit photos and/or pictures in any electronic format.</w:t>
      </w:r>
    </w:p>
    <w:p w14:paraId="3911B6C5" w14:textId="77777777" w:rsidR="00D43CAE" w:rsidRPr="00D70A25" w:rsidRDefault="00D43CAE" w:rsidP="00D70A25">
      <w:pPr>
        <w:pStyle w:val="Heading2"/>
      </w:pPr>
      <w:r w:rsidRPr="00D70A25">
        <w:t>Recording meetings</w:t>
      </w:r>
    </w:p>
    <w:p w14:paraId="3911B6C6" w14:textId="77777777" w:rsidR="00D43CAE" w:rsidRPr="00910E67" w:rsidRDefault="00D43CAE" w:rsidP="00C13C1B">
      <w:pPr>
        <w:pStyle w:val="dNormParatext"/>
      </w:pPr>
      <w:r w:rsidRPr="00910E67">
        <w:t>Members of the public and press can record the proceedings of any public meeting of the Council.</w:t>
      </w:r>
      <w:r w:rsidR="00D70A25">
        <w:t xml:space="preserve"> </w:t>
      </w:r>
      <w:r w:rsidRPr="00910E67">
        <w:t xml:space="preserve">If you do wish to record the meeting, please notify the </w:t>
      </w:r>
      <w:r w:rsidR="00BF2FEA">
        <w:t xml:space="preserve">Committee and Member Services Officer </w:t>
      </w:r>
      <w:r w:rsidRPr="00910E67">
        <w:t>prior to the meeting so that they can inform the Chair and direct yo</w:t>
      </w:r>
      <w:r w:rsidR="00C13C1B">
        <w:t xml:space="preserve">u to the best place to record. </w:t>
      </w:r>
      <w:r w:rsidRPr="00910E67">
        <w:t xml:space="preserve">You are not allowed to disturb the meeting and the </w:t>
      </w:r>
      <w:r w:rsidR="00EB3194">
        <w:t>C</w:t>
      </w:r>
      <w:r w:rsidR="00EB3194" w:rsidRPr="00910E67">
        <w:t xml:space="preserve">hair </w:t>
      </w:r>
      <w:r w:rsidRPr="00910E67">
        <w:t>will stop the meeting if they feel a recording is disruptive.</w:t>
      </w:r>
    </w:p>
    <w:p w14:paraId="3911B6C7" w14:textId="77777777" w:rsidR="00D43CAE" w:rsidRPr="00910E67" w:rsidRDefault="00D43CAE" w:rsidP="00C13C1B">
      <w:pPr>
        <w:pStyle w:val="dNormParatext"/>
      </w:pPr>
      <w:r w:rsidRPr="00910E67">
        <w:t>The Council asks those recording the meeting:</w:t>
      </w:r>
    </w:p>
    <w:p w14:paraId="3911B6C8" w14:textId="77777777" w:rsidR="00D43CAE" w:rsidRPr="00910E67" w:rsidRDefault="00D43CAE" w:rsidP="00C13C1B">
      <w:pPr>
        <w:pStyle w:val="dLetterListPara"/>
      </w:pPr>
      <w:r w:rsidRPr="00910E67">
        <w:t>Not to edit the recording in a way that could lead to misinte</w:t>
      </w:r>
      <w:r w:rsidR="00C13C1B">
        <w:t xml:space="preserve">rpretation of the proceedings. </w:t>
      </w:r>
      <w:r w:rsidRPr="00910E67">
        <w:t>This includes not editing an image or views expressed in a way that may ridicule, or show a lack of respect towards those being recorded.</w:t>
      </w:r>
    </w:p>
    <w:p w14:paraId="3911B6C9" w14:textId="77777777" w:rsidR="00D43CAE" w:rsidRPr="00910E67" w:rsidRDefault="00D43CAE" w:rsidP="00C13C1B">
      <w:pPr>
        <w:pStyle w:val="dLetterListPara"/>
      </w:pPr>
      <w:r w:rsidRPr="00910E67">
        <w:t>To avoid recording members of the public present unless they are addressing the meeting.</w:t>
      </w:r>
    </w:p>
    <w:p w14:paraId="3911B6CA" w14:textId="77777777" w:rsidR="00D43CAE" w:rsidRPr="00910E67" w:rsidRDefault="00D43CAE" w:rsidP="00D70A25">
      <w:pPr>
        <w:pStyle w:val="Heading2"/>
      </w:pPr>
      <w:r w:rsidRPr="00910E67">
        <w:t>Meeting Etiquette</w:t>
      </w:r>
    </w:p>
    <w:p w14:paraId="3911B6CB" w14:textId="77777777" w:rsidR="00D43CAE" w:rsidRPr="00910E67" w:rsidRDefault="00D43CAE" w:rsidP="00C13C1B">
      <w:pPr>
        <w:pStyle w:val="dNormParatext"/>
      </w:pPr>
      <w:r w:rsidRPr="00910E67">
        <w:t>All representations should be heard in silence and without interruption. The Chair will no</w:t>
      </w:r>
      <w:r w:rsidR="00C13C1B">
        <w:t xml:space="preserve">t permit disruptive behaviour. </w:t>
      </w:r>
      <w:r w:rsidRPr="00910E67">
        <w:t>Members of the public are reminded that if the meeting is not allowed to proceed in an orderly manner then the Chair will withdraw the opportu</w:t>
      </w:r>
      <w:r w:rsidR="00C13C1B">
        <w:t xml:space="preserve">nity to address the Committee. </w:t>
      </w:r>
      <w:r w:rsidRPr="00910E67">
        <w:t>The Committee is a meeting held in public, not a public meeting.</w:t>
      </w:r>
    </w:p>
    <w:sectPr w:rsidR="00D43CAE" w:rsidRPr="00910E67" w:rsidSect="004A3F92">
      <w:headerReference w:type="default" r:id="rId8"/>
      <w:footerReference w:type="default" r:id="rId9"/>
      <w:pgSz w:w="11906" w:h="16838" w:code="9"/>
      <w:pgMar w:top="1418" w:right="1304" w:bottom="1304" w:left="1304"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B6CE" w14:textId="77777777" w:rsidR="00DD2A45" w:rsidRDefault="00DD2A45" w:rsidP="00DD2A45">
      <w:r>
        <w:separator/>
      </w:r>
    </w:p>
  </w:endnote>
  <w:endnote w:type="continuationSeparator" w:id="0">
    <w:p w14:paraId="3911B6CF" w14:textId="77777777" w:rsidR="00DD2A45" w:rsidRDefault="00DD2A45" w:rsidP="00DD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B6D1" w14:textId="77777777" w:rsidR="00DD2A45" w:rsidRDefault="00DD2A45" w:rsidP="00DD2A45">
    <w:pPr>
      <w:rPr>
        <w:sz w:val="22"/>
        <w:szCs w:val="22"/>
      </w:rPr>
    </w:pPr>
  </w:p>
  <w:p w14:paraId="3911B6D2" w14:textId="77777777" w:rsidR="00DD2A45" w:rsidRPr="00AE42D6" w:rsidRDefault="00DD2A45" w:rsidP="00484BB3">
    <w:pPr>
      <w:pStyle w:val="Footer"/>
    </w:pPr>
    <w:r w:rsidRPr="00AE42D6">
      <w:t xml:space="preserve">Part </w:t>
    </w:r>
    <w:r w:rsidR="001528B3">
      <w:t>24 Annex 1</w:t>
    </w:r>
  </w:p>
  <w:p w14:paraId="3911B6D3" w14:textId="390A6B6D" w:rsidR="00EC6F81" w:rsidRDefault="00D84367" w:rsidP="00484BB3">
    <w:pPr>
      <w:pStyle w:val="Footer"/>
      <w:jc w:val="right"/>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B6CC" w14:textId="77777777" w:rsidR="00DD2A45" w:rsidRDefault="00DD2A45" w:rsidP="00DD2A45">
      <w:r>
        <w:separator/>
      </w:r>
    </w:p>
  </w:footnote>
  <w:footnote w:type="continuationSeparator" w:id="0">
    <w:p w14:paraId="3911B6CD" w14:textId="77777777" w:rsidR="00DD2A45" w:rsidRDefault="00DD2A45" w:rsidP="00DD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B6D0" w14:textId="77777777" w:rsidR="00DD2A45" w:rsidRPr="00C13C1B" w:rsidRDefault="00DD2A45" w:rsidP="00484BB3">
    <w:pPr>
      <w:pStyle w:val="Header"/>
    </w:pPr>
    <w:r w:rsidRPr="00C13C1B">
      <w:t>Con</w:t>
    </w:r>
    <w:r w:rsidR="004A3F92">
      <w:t>stitution - Oxford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1C5E95"/>
    <w:multiLevelType w:val="hybridMultilevel"/>
    <w:tmpl w:val="7E34F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61930"/>
    <w:multiLevelType w:val="hybridMultilevel"/>
    <w:tmpl w:val="A3267C80"/>
    <w:lvl w:ilvl="0" w:tplc="A7B6966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533E48"/>
    <w:multiLevelType w:val="hybridMultilevel"/>
    <w:tmpl w:val="3DECD03E"/>
    <w:lvl w:ilvl="0" w:tplc="0809000F">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BFB29B2"/>
    <w:multiLevelType w:val="hybridMultilevel"/>
    <w:tmpl w:val="90E07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846C8"/>
    <w:multiLevelType w:val="multilevel"/>
    <w:tmpl w:val="20ACAD6A"/>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5B0E89"/>
    <w:multiLevelType w:val="hybridMultilevel"/>
    <w:tmpl w:val="F7647294"/>
    <w:lvl w:ilvl="0" w:tplc="1A8E02DA">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0" w15:restartNumberingAfterBreak="0">
    <w:nsid w:val="23912D74"/>
    <w:multiLevelType w:val="hybridMultilevel"/>
    <w:tmpl w:val="DED05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A1F42"/>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5209FB"/>
    <w:multiLevelType w:val="hybridMultilevel"/>
    <w:tmpl w:val="B2226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780417"/>
    <w:multiLevelType w:val="hybridMultilevel"/>
    <w:tmpl w:val="5114E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47461"/>
    <w:multiLevelType w:val="hybridMultilevel"/>
    <w:tmpl w:val="9D2043B8"/>
    <w:lvl w:ilvl="0" w:tplc="A6DE393C">
      <w:start w:val="1"/>
      <w:numFmt w:val="decimal"/>
      <w:lvlText w:val="%1."/>
      <w:lvlJc w:val="left"/>
      <w:pPr>
        <w:ind w:left="2064" w:hanging="1704"/>
      </w:pPr>
      <w:rPr>
        <w:rFonts w:hint="default"/>
      </w:rPr>
    </w:lvl>
    <w:lvl w:ilvl="1" w:tplc="EDC0836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62909"/>
    <w:multiLevelType w:val="hybridMultilevel"/>
    <w:tmpl w:val="65BA0598"/>
    <w:lvl w:ilvl="0" w:tplc="18362520">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6" w15:restartNumberingAfterBreak="0">
    <w:nsid w:val="579E7E33"/>
    <w:multiLevelType w:val="hybridMultilevel"/>
    <w:tmpl w:val="91CA7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8E1306"/>
    <w:multiLevelType w:val="hybridMultilevel"/>
    <w:tmpl w:val="87AEBB68"/>
    <w:lvl w:ilvl="0" w:tplc="B36A64FC">
      <w:start w:val="5"/>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CA72E2"/>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300CEE"/>
    <w:multiLevelType w:val="hybridMultilevel"/>
    <w:tmpl w:val="1C984212"/>
    <w:lvl w:ilvl="0" w:tplc="F7E489C0">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abstractNum w:abstractNumId="20" w15:restartNumberingAfterBreak="0">
    <w:nsid w:val="7FD268C0"/>
    <w:multiLevelType w:val="hybridMultilevel"/>
    <w:tmpl w:val="B6D0C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F359AA"/>
    <w:multiLevelType w:val="hybridMultilevel"/>
    <w:tmpl w:val="44AAB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613127">
    <w:abstractNumId w:val="5"/>
  </w:num>
  <w:num w:numId="2" w16cid:durableId="581841911">
    <w:abstractNumId w:val="16"/>
  </w:num>
  <w:num w:numId="3" w16cid:durableId="1335373489">
    <w:abstractNumId w:val="14"/>
  </w:num>
  <w:num w:numId="4" w16cid:durableId="308900528">
    <w:abstractNumId w:val="19"/>
  </w:num>
  <w:num w:numId="5" w16cid:durableId="1791194902">
    <w:abstractNumId w:val="9"/>
  </w:num>
  <w:num w:numId="6" w16cid:durableId="204144688">
    <w:abstractNumId w:val="3"/>
  </w:num>
  <w:num w:numId="7" w16cid:durableId="2087727456">
    <w:abstractNumId w:val="0"/>
  </w:num>
  <w:num w:numId="8" w16cid:durableId="500123710">
    <w:abstractNumId w:val="8"/>
  </w:num>
  <w:num w:numId="9" w16cid:durableId="145636189">
    <w:abstractNumId w:val="15"/>
  </w:num>
  <w:num w:numId="10" w16cid:durableId="1774671626">
    <w:abstractNumId w:val="11"/>
  </w:num>
  <w:num w:numId="11" w16cid:durableId="977877616">
    <w:abstractNumId w:val="18"/>
  </w:num>
  <w:num w:numId="12" w16cid:durableId="41908132">
    <w:abstractNumId w:val="11"/>
  </w:num>
  <w:num w:numId="13" w16cid:durableId="31855249">
    <w:abstractNumId w:val="19"/>
  </w:num>
  <w:num w:numId="14" w16cid:durableId="585454269">
    <w:abstractNumId w:val="9"/>
  </w:num>
  <w:num w:numId="15" w16cid:durableId="1415392687">
    <w:abstractNumId w:val="3"/>
  </w:num>
  <w:num w:numId="16" w16cid:durableId="1951936318">
    <w:abstractNumId w:val="0"/>
  </w:num>
  <w:num w:numId="17" w16cid:durableId="1613979524">
    <w:abstractNumId w:val="8"/>
  </w:num>
  <w:num w:numId="18" w16cid:durableId="1588228231">
    <w:abstractNumId w:val="15"/>
  </w:num>
  <w:num w:numId="19" w16cid:durableId="1699773374">
    <w:abstractNumId w:val="1"/>
  </w:num>
  <w:num w:numId="20" w16cid:durableId="942229914">
    <w:abstractNumId w:val="2"/>
  </w:num>
  <w:num w:numId="21" w16cid:durableId="1790010032">
    <w:abstractNumId w:val="1"/>
  </w:num>
  <w:num w:numId="22" w16cid:durableId="331447976">
    <w:abstractNumId w:val="12"/>
  </w:num>
  <w:num w:numId="23" w16cid:durableId="1920941097">
    <w:abstractNumId w:val="6"/>
  </w:num>
  <w:num w:numId="24" w16cid:durableId="524294728">
    <w:abstractNumId w:val="4"/>
  </w:num>
  <w:num w:numId="25" w16cid:durableId="1780641186">
    <w:abstractNumId w:val="13"/>
  </w:num>
  <w:num w:numId="26" w16cid:durableId="2030252615">
    <w:abstractNumId w:val="10"/>
  </w:num>
  <w:num w:numId="27" w16cid:durableId="294138899">
    <w:abstractNumId w:val="21"/>
  </w:num>
  <w:num w:numId="28" w16cid:durableId="545680889">
    <w:abstractNumId w:val="7"/>
  </w:num>
  <w:num w:numId="29" w16cid:durableId="291445564">
    <w:abstractNumId w:val="20"/>
  </w:num>
  <w:num w:numId="30" w16cid:durableId="1140612400">
    <w:abstractNumId w:val="9"/>
    <w:lvlOverride w:ilvl="0">
      <w:startOverride w:val="1"/>
    </w:lvlOverride>
  </w:num>
  <w:num w:numId="31" w16cid:durableId="17526608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AE"/>
    <w:rsid w:val="001528B3"/>
    <w:rsid w:val="0019213D"/>
    <w:rsid w:val="002148D2"/>
    <w:rsid w:val="002B23FB"/>
    <w:rsid w:val="00327BF0"/>
    <w:rsid w:val="00484BB3"/>
    <w:rsid w:val="004A3F92"/>
    <w:rsid w:val="004E3654"/>
    <w:rsid w:val="00527BBF"/>
    <w:rsid w:val="0054503C"/>
    <w:rsid w:val="00564525"/>
    <w:rsid w:val="005674FF"/>
    <w:rsid w:val="00695F74"/>
    <w:rsid w:val="006D2B91"/>
    <w:rsid w:val="008674FA"/>
    <w:rsid w:val="009964A2"/>
    <w:rsid w:val="00B65CFF"/>
    <w:rsid w:val="00BF2FEA"/>
    <w:rsid w:val="00C13C1B"/>
    <w:rsid w:val="00C17D8C"/>
    <w:rsid w:val="00D43CAE"/>
    <w:rsid w:val="00D70A25"/>
    <w:rsid w:val="00D84367"/>
    <w:rsid w:val="00DD2A45"/>
    <w:rsid w:val="00EB3194"/>
    <w:rsid w:val="00EC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1B6A8"/>
  <w15:docId w15:val="{364BEA36-771F-4D7F-A409-10AA3F0D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1B"/>
    <w:pPr>
      <w:spacing w:after="0" w:line="240" w:lineRule="auto"/>
    </w:pPr>
    <w:rPr>
      <w:rFonts w:ascii="Arial" w:eastAsia="Times New Roman" w:hAnsi="Arial" w:cs="Times New Roman"/>
      <w:color w:val="000000"/>
      <w:sz w:val="24"/>
      <w:szCs w:val="24"/>
      <w:lang w:eastAsia="en-GB"/>
    </w:rPr>
  </w:style>
  <w:style w:type="paragraph" w:styleId="Heading1">
    <w:name w:val="heading 1"/>
    <w:aliases w:val="aMainHeader"/>
    <w:basedOn w:val="Normal"/>
    <w:next w:val="Normal"/>
    <w:link w:val="Heading1Char"/>
    <w:qFormat/>
    <w:rsid w:val="00C13C1B"/>
    <w:pPr>
      <w:ind w:left="567" w:hanging="709"/>
      <w:outlineLvl w:val="0"/>
    </w:pPr>
    <w:rPr>
      <w:b/>
      <w:color w:val="auto"/>
      <w:sz w:val="28"/>
      <w:szCs w:val="28"/>
      <w:lang w:eastAsia="en-US"/>
    </w:rPr>
  </w:style>
  <w:style w:type="paragraph" w:styleId="Heading2">
    <w:name w:val="heading 2"/>
    <w:aliases w:val="bHeader"/>
    <w:basedOn w:val="Normal"/>
    <w:next w:val="Normal"/>
    <w:link w:val="Heading2Char"/>
    <w:qFormat/>
    <w:rsid w:val="00D70A25"/>
    <w:pPr>
      <w:numPr>
        <w:numId w:val="31"/>
      </w:numPr>
      <w:tabs>
        <w:tab w:val="left" w:pos="567"/>
      </w:tabs>
      <w:spacing w:before="240" w:after="240"/>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C13C1B"/>
    <w:pPr>
      <w:numPr>
        <w:numId w:val="18"/>
      </w:numPr>
      <w:tabs>
        <w:tab w:val="left" w:pos="993"/>
      </w:tabs>
      <w:spacing w:before="240" w:after="120"/>
      <w:outlineLvl w:val="2"/>
    </w:pPr>
    <w:rPr>
      <w:color w:val="auto"/>
      <w:lang w:eastAsia="en-US"/>
    </w:rPr>
  </w:style>
  <w:style w:type="paragraph" w:styleId="Heading4">
    <w:name w:val="heading 4"/>
    <w:basedOn w:val="Normal"/>
    <w:next w:val="Normal"/>
    <w:link w:val="Heading4Char"/>
    <w:rsid w:val="00C13C1B"/>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rsid w:val="00C13C1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MainHeader Char"/>
    <w:link w:val="Heading1"/>
    <w:rsid w:val="00C13C1B"/>
    <w:rPr>
      <w:rFonts w:ascii="Arial" w:eastAsia="Times New Roman" w:hAnsi="Arial" w:cs="Times New Roman"/>
      <w:b/>
      <w:sz w:val="28"/>
      <w:szCs w:val="28"/>
    </w:rPr>
  </w:style>
  <w:style w:type="paragraph" w:styleId="Header">
    <w:name w:val="header"/>
    <w:aliases w:val="zzPageHeader"/>
    <w:basedOn w:val="Normal"/>
    <w:link w:val="HeaderChar"/>
    <w:uiPriority w:val="99"/>
    <w:qFormat/>
    <w:rsid w:val="00C13C1B"/>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C13C1B"/>
    <w:rPr>
      <w:rFonts w:ascii="Arial" w:eastAsia="Times New Roman" w:hAnsi="Arial" w:cs="Times New Roman"/>
      <w:color w:val="0000FF"/>
      <w:sz w:val="28"/>
      <w:szCs w:val="28"/>
      <w:lang w:eastAsia="en-GB"/>
    </w:rPr>
  </w:style>
  <w:style w:type="paragraph" w:styleId="Footer">
    <w:name w:val="footer"/>
    <w:aliases w:val="zzFooter"/>
    <w:basedOn w:val="Header"/>
    <w:link w:val="FooterChar"/>
    <w:uiPriority w:val="99"/>
    <w:qFormat/>
    <w:rsid w:val="00C13C1B"/>
    <w:rPr>
      <w:sz w:val="22"/>
      <w:szCs w:val="22"/>
    </w:rPr>
  </w:style>
  <w:style w:type="character" w:customStyle="1" w:styleId="FooterChar">
    <w:name w:val="Footer Char"/>
    <w:aliases w:val="zzFooter Char"/>
    <w:basedOn w:val="DefaultParagraphFont"/>
    <w:link w:val="Footer"/>
    <w:uiPriority w:val="99"/>
    <w:rsid w:val="00C13C1B"/>
    <w:rPr>
      <w:rFonts w:ascii="Arial" w:eastAsia="Times New Roman" w:hAnsi="Arial" w:cs="Times New Roman"/>
      <w:color w:val="0000FF"/>
      <w:lang w:eastAsia="en-GB"/>
    </w:rPr>
  </w:style>
  <w:style w:type="paragraph" w:styleId="BalloonText">
    <w:name w:val="Balloon Text"/>
    <w:basedOn w:val="Normal"/>
    <w:link w:val="BalloonTextChar"/>
    <w:rsid w:val="00C13C1B"/>
    <w:rPr>
      <w:rFonts w:ascii="Tahoma" w:hAnsi="Tahoma" w:cs="Tahoma"/>
      <w:sz w:val="16"/>
      <w:szCs w:val="16"/>
    </w:rPr>
  </w:style>
  <w:style w:type="character" w:customStyle="1" w:styleId="BalloonTextChar">
    <w:name w:val="Balloon Text Char"/>
    <w:basedOn w:val="DefaultParagraphFont"/>
    <w:link w:val="BalloonText"/>
    <w:rsid w:val="00C13C1B"/>
    <w:rPr>
      <w:rFonts w:ascii="Tahoma" w:eastAsia="Times New Roman" w:hAnsi="Tahoma" w:cs="Tahoma"/>
      <w:color w:val="000000"/>
      <w:sz w:val="16"/>
      <w:szCs w:val="16"/>
      <w:lang w:eastAsia="en-GB"/>
    </w:rPr>
  </w:style>
  <w:style w:type="paragraph" w:styleId="Caption">
    <w:name w:val="caption"/>
    <w:aliases w:val="Figure/TableCaption"/>
    <w:basedOn w:val="Normal"/>
    <w:next w:val="Normal"/>
    <w:unhideWhenUsed/>
    <w:qFormat/>
    <w:rsid w:val="00C13C1B"/>
    <w:pPr>
      <w:jc w:val="center"/>
    </w:pPr>
    <w:rPr>
      <w:b/>
    </w:rPr>
  </w:style>
  <w:style w:type="character" w:styleId="CommentReference">
    <w:name w:val="annotation reference"/>
    <w:rsid w:val="00C13C1B"/>
    <w:rPr>
      <w:sz w:val="16"/>
      <w:szCs w:val="16"/>
    </w:rPr>
  </w:style>
  <w:style w:type="paragraph" w:styleId="CommentText">
    <w:name w:val="annotation text"/>
    <w:basedOn w:val="Normal"/>
    <w:link w:val="CommentTextChar"/>
    <w:rsid w:val="00C13C1B"/>
    <w:rPr>
      <w:sz w:val="20"/>
      <w:szCs w:val="20"/>
    </w:rPr>
  </w:style>
  <w:style w:type="character" w:customStyle="1" w:styleId="CommentTextChar">
    <w:name w:val="Comment Text Char"/>
    <w:basedOn w:val="DefaultParagraphFont"/>
    <w:link w:val="CommentText"/>
    <w:rsid w:val="00C13C1B"/>
    <w:rPr>
      <w:rFonts w:ascii="Arial" w:eastAsia="Times New Roman" w:hAnsi="Arial" w:cs="Times New Roman"/>
      <w:color w:val="000000"/>
      <w:sz w:val="20"/>
      <w:szCs w:val="20"/>
      <w:lang w:eastAsia="en-GB"/>
    </w:rPr>
  </w:style>
  <w:style w:type="paragraph" w:styleId="CommentSubject">
    <w:name w:val="annotation subject"/>
    <w:basedOn w:val="CommentText"/>
    <w:next w:val="CommentText"/>
    <w:link w:val="CommentSubjectChar"/>
    <w:rsid w:val="00C13C1B"/>
    <w:rPr>
      <w:b/>
      <w:bCs/>
    </w:rPr>
  </w:style>
  <w:style w:type="character" w:customStyle="1" w:styleId="CommentSubjectChar">
    <w:name w:val="Comment Subject Char"/>
    <w:basedOn w:val="CommentTextChar"/>
    <w:link w:val="CommentSubject"/>
    <w:rsid w:val="00C13C1B"/>
    <w:rPr>
      <w:rFonts w:ascii="Arial" w:eastAsia="Times New Roman" w:hAnsi="Arial" w:cs="Times New Roman"/>
      <w:b/>
      <w:bCs/>
      <w:color w:val="000000"/>
      <w:sz w:val="20"/>
      <w:szCs w:val="20"/>
      <w:lang w:eastAsia="en-GB"/>
    </w:rPr>
  </w:style>
  <w:style w:type="paragraph" w:customStyle="1" w:styleId="dBulletpoints">
    <w:name w:val="dBullet points"/>
    <w:basedOn w:val="Normal"/>
    <w:link w:val="dBulletpointsChar"/>
    <w:qFormat/>
    <w:rsid w:val="00C13C1B"/>
    <w:pPr>
      <w:numPr>
        <w:numId w:val="13"/>
      </w:numPr>
      <w:spacing w:after="120"/>
    </w:pPr>
    <w:rPr>
      <w:color w:val="auto"/>
      <w:lang w:eastAsia="en-US"/>
    </w:rPr>
  </w:style>
  <w:style w:type="character" w:customStyle="1" w:styleId="dBulletpointsChar">
    <w:name w:val="dBullet points Char"/>
    <w:link w:val="dBulletpoints"/>
    <w:rsid w:val="00C13C1B"/>
    <w:rPr>
      <w:rFonts w:ascii="Arial" w:eastAsia="Times New Roman" w:hAnsi="Arial" w:cs="Times New Roman"/>
      <w:sz w:val="24"/>
      <w:szCs w:val="24"/>
    </w:rPr>
  </w:style>
  <w:style w:type="paragraph" w:customStyle="1" w:styleId="dLetterListPara">
    <w:name w:val="dLetterListPara"/>
    <w:basedOn w:val="Normal"/>
    <w:link w:val="dLetterListParaChar"/>
    <w:qFormat/>
    <w:rsid w:val="00C13C1B"/>
    <w:pPr>
      <w:spacing w:after="120"/>
      <w:ind w:left="992"/>
    </w:pPr>
    <w:rPr>
      <w:color w:val="auto"/>
      <w:lang w:eastAsia="en-US"/>
    </w:rPr>
  </w:style>
  <w:style w:type="character" w:customStyle="1" w:styleId="dLetterListParaChar">
    <w:name w:val="dLetterListPara Char"/>
    <w:basedOn w:val="DefaultParagraphFont"/>
    <w:link w:val="dLetterListPara"/>
    <w:rsid w:val="00C13C1B"/>
    <w:rPr>
      <w:rFonts w:ascii="Arial" w:eastAsia="Times New Roman" w:hAnsi="Arial" w:cs="Times New Roman"/>
      <w:sz w:val="24"/>
      <w:szCs w:val="24"/>
    </w:rPr>
  </w:style>
  <w:style w:type="paragraph" w:customStyle="1" w:styleId="dLetterLettPara">
    <w:name w:val="dLetterLettPara"/>
    <w:basedOn w:val="dLetterListPara"/>
    <w:link w:val="dLetterLettParaChar"/>
    <w:qFormat/>
    <w:rsid w:val="00484BB3"/>
    <w:pPr>
      <w:numPr>
        <w:numId w:val="14"/>
      </w:numPr>
      <w:ind w:left="993" w:hanging="426"/>
    </w:pPr>
  </w:style>
  <w:style w:type="character" w:customStyle="1" w:styleId="dLetterLettParaChar">
    <w:name w:val="dLetterLettPara Char"/>
    <w:basedOn w:val="dLetterListParaChar"/>
    <w:link w:val="dLetterLettPara"/>
    <w:rsid w:val="00484BB3"/>
    <w:rPr>
      <w:rFonts w:ascii="Arial" w:eastAsia="Times New Roman" w:hAnsi="Arial" w:cs="Times New Roman"/>
      <w:sz w:val="24"/>
      <w:szCs w:val="24"/>
    </w:rPr>
  </w:style>
  <w:style w:type="paragraph" w:customStyle="1" w:styleId="dNormParatext">
    <w:name w:val="dNormPara text"/>
    <w:basedOn w:val="Normal"/>
    <w:link w:val="dNormParatextChar"/>
    <w:qFormat/>
    <w:rsid w:val="00C13C1B"/>
    <w:pPr>
      <w:spacing w:after="120"/>
    </w:pPr>
    <w:rPr>
      <w:color w:val="auto"/>
      <w:lang w:eastAsia="en-US"/>
    </w:rPr>
  </w:style>
  <w:style w:type="character" w:customStyle="1" w:styleId="dNormParatextChar">
    <w:name w:val="dNormPara text Char"/>
    <w:link w:val="dNormParatext"/>
    <w:rsid w:val="00C13C1B"/>
    <w:rPr>
      <w:rFonts w:ascii="Arial" w:eastAsia="Times New Roman" w:hAnsi="Arial" w:cs="Times New Roman"/>
      <w:sz w:val="24"/>
      <w:szCs w:val="24"/>
    </w:rPr>
  </w:style>
  <w:style w:type="paragraph" w:customStyle="1" w:styleId="eBulletIndent">
    <w:name w:val="eBulletIndent"/>
    <w:basedOn w:val="dBulletpoints"/>
    <w:qFormat/>
    <w:rsid w:val="00C13C1B"/>
    <w:pPr>
      <w:numPr>
        <w:numId w:val="15"/>
      </w:numPr>
    </w:pPr>
  </w:style>
  <w:style w:type="paragraph" w:customStyle="1" w:styleId="eRomanSubList">
    <w:name w:val="eRomanSubList"/>
    <w:basedOn w:val="dLetterListPara"/>
    <w:link w:val="eRomanSubListChar"/>
    <w:qFormat/>
    <w:rsid w:val="00C13C1B"/>
    <w:pPr>
      <w:numPr>
        <w:numId w:val="16"/>
      </w:numPr>
    </w:pPr>
  </w:style>
  <w:style w:type="character" w:customStyle="1" w:styleId="eRomanSubListChar">
    <w:name w:val="eRomanSubList Char"/>
    <w:link w:val="eRomanSubList"/>
    <w:rsid w:val="00C13C1B"/>
    <w:rPr>
      <w:rFonts w:ascii="Arial" w:eastAsia="Times New Roman" w:hAnsi="Arial" w:cs="Times New Roman"/>
      <w:sz w:val="24"/>
      <w:szCs w:val="24"/>
    </w:rPr>
  </w:style>
  <w:style w:type="character" w:styleId="FootnoteReference">
    <w:name w:val="footnote reference"/>
    <w:basedOn w:val="DefaultParagraphFont"/>
    <w:rsid w:val="00C13C1B"/>
    <w:rPr>
      <w:vertAlign w:val="superscript"/>
    </w:rPr>
  </w:style>
  <w:style w:type="paragraph" w:styleId="FootnoteText">
    <w:name w:val="footnote text"/>
    <w:basedOn w:val="Normal"/>
    <w:link w:val="FootnoteTextChar"/>
    <w:qFormat/>
    <w:rsid w:val="00C13C1B"/>
    <w:rPr>
      <w:i/>
      <w:color w:val="404040" w:themeColor="text1" w:themeTint="BF"/>
      <w:sz w:val="22"/>
      <w:szCs w:val="20"/>
    </w:rPr>
  </w:style>
  <w:style w:type="character" w:customStyle="1" w:styleId="FootnoteTextChar">
    <w:name w:val="Footnote Text Char"/>
    <w:basedOn w:val="DefaultParagraphFont"/>
    <w:link w:val="FootnoteText"/>
    <w:rsid w:val="00C13C1B"/>
    <w:rPr>
      <w:rFonts w:ascii="Arial" w:eastAsia="Times New Roman" w:hAnsi="Arial" w:cs="Times New Roman"/>
      <w:i/>
      <w:color w:val="404040" w:themeColor="text1" w:themeTint="BF"/>
      <w:szCs w:val="20"/>
      <w:lang w:eastAsia="en-GB"/>
    </w:rPr>
  </w:style>
  <w:style w:type="character" w:customStyle="1" w:styleId="Heading2Char">
    <w:name w:val="Heading 2 Char"/>
    <w:aliases w:val="bHeader Char"/>
    <w:basedOn w:val="DefaultParagraphFont"/>
    <w:link w:val="Heading2"/>
    <w:rsid w:val="00D70A25"/>
    <w:rPr>
      <w:rFonts w:ascii="Arial Bold" w:eastAsia="Times New Roman" w:hAnsi="Arial Bold" w:cs="Arial"/>
      <w:b/>
      <w:bCs/>
      <w:kern w:val="32"/>
      <w:sz w:val="24"/>
      <w:szCs w:val="24"/>
    </w:rPr>
  </w:style>
  <w:style w:type="character" w:customStyle="1" w:styleId="Heading3Char">
    <w:name w:val="Heading 3 Char"/>
    <w:aliases w:val="cSectHeader Char"/>
    <w:basedOn w:val="DefaultParagraphFont"/>
    <w:link w:val="Heading3"/>
    <w:rsid w:val="00C13C1B"/>
    <w:rPr>
      <w:rFonts w:ascii="Arial" w:eastAsia="Times New Roman" w:hAnsi="Arial" w:cs="Times New Roman"/>
      <w:sz w:val="24"/>
      <w:szCs w:val="24"/>
    </w:rPr>
  </w:style>
  <w:style w:type="character" w:customStyle="1" w:styleId="Heading4Char">
    <w:name w:val="Heading 4 Char"/>
    <w:basedOn w:val="DefaultParagraphFont"/>
    <w:link w:val="Heading4"/>
    <w:rsid w:val="00C13C1B"/>
    <w:rPr>
      <w:rFonts w:asciiTheme="majorHAnsi" w:eastAsiaTheme="majorEastAsia" w:hAnsiTheme="majorHAnsi" w:cstheme="majorBidi"/>
      <w:b/>
      <w:bCs/>
      <w:i/>
      <w:iCs/>
      <w:color w:val="5B9BD5" w:themeColor="accent1"/>
      <w:sz w:val="24"/>
      <w:szCs w:val="24"/>
      <w:lang w:eastAsia="en-GB"/>
    </w:rPr>
  </w:style>
  <w:style w:type="character" w:customStyle="1" w:styleId="Heading5Char">
    <w:name w:val="Heading 5 Char"/>
    <w:basedOn w:val="DefaultParagraphFont"/>
    <w:link w:val="Heading5"/>
    <w:semiHidden/>
    <w:rsid w:val="00C13C1B"/>
    <w:rPr>
      <w:rFonts w:asciiTheme="majorHAnsi" w:eastAsiaTheme="majorEastAsia" w:hAnsiTheme="majorHAnsi" w:cstheme="majorBidi"/>
      <w:color w:val="1F4D78" w:themeColor="accent1" w:themeShade="7F"/>
      <w:sz w:val="24"/>
      <w:szCs w:val="24"/>
      <w:lang w:eastAsia="en-GB"/>
    </w:rPr>
  </w:style>
  <w:style w:type="character" w:styleId="Hyperlink">
    <w:name w:val="Hyperlink"/>
    <w:uiPriority w:val="99"/>
    <w:qFormat/>
    <w:rsid w:val="00C13C1B"/>
    <w:rPr>
      <w:i/>
      <w:color w:val="0000FF"/>
      <w:u w:val="single"/>
    </w:rPr>
  </w:style>
  <w:style w:type="table" w:styleId="LightList-Accent2">
    <w:name w:val="Light List Accent 2"/>
    <w:basedOn w:val="TableNormal"/>
    <w:uiPriority w:val="61"/>
    <w:rsid w:val="00C13C1B"/>
    <w:pPr>
      <w:spacing w:after="0" w:line="240" w:lineRule="auto"/>
    </w:pPr>
    <w:rPr>
      <w:rFonts w:ascii="Arial" w:eastAsia="Calibri" w:hAnsi="Arial" w:cs="Arial"/>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13C1B"/>
    <w:pPr>
      <w:spacing w:after="0" w:line="240" w:lineRule="auto"/>
    </w:pPr>
    <w:rPr>
      <w:rFonts w:ascii="Arial" w:eastAsia="Calibri" w:hAnsi="Arial" w:cs="Arial"/>
      <w:color w:val="943634"/>
      <w:sz w:val="24"/>
      <w:szCs w:val="2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link w:val="ListParagraphChar"/>
    <w:uiPriority w:val="34"/>
    <w:rsid w:val="00C13C1B"/>
    <w:pPr>
      <w:numPr>
        <w:numId w:val="21"/>
      </w:numPr>
      <w:tabs>
        <w:tab w:val="left" w:pos="426"/>
      </w:tabs>
    </w:pPr>
  </w:style>
  <w:style w:type="character" w:customStyle="1" w:styleId="ListParagraphChar">
    <w:name w:val="List Paragraph Char"/>
    <w:link w:val="ListParagraph"/>
    <w:uiPriority w:val="34"/>
    <w:rsid w:val="00C13C1B"/>
    <w:rPr>
      <w:rFonts w:ascii="Arial" w:eastAsia="Times New Roman" w:hAnsi="Arial" w:cs="Times New Roman"/>
      <w:color w:val="000000"/>
      <w:sz w:val="24"/>
      <w:szCs w:val="24"/>
      <w:lang w:eastAsia="en-GB"/>
    </w:rPr>
  </w:style>
  <w:style w:type="paragraph" w:styleId="NoSpacing">
    <w:name w:val="No Spacing"/>
    <w:uiPriority w:val="1"/>
    <w:rsid w:val="00C13C1B"/>
    <w:pPr>
      <w:spacing w:after="120" w:line="240" w:lineRule="auto"/>
    </w:pPr>
    <w:rPr>
      <w:rFonts w:ascii="Arial" w:eastAsia="Times New Roman" w:hAnsi="Arial" w:cs="Times New Roman"/>
      <w:color w:val="000000"/>
      <w:sz w:val="24"/>
      <w:szCs w:val="24"/>
    </w:rPr>
  </w:style>
  <w:style w:type="paragraph" w:styleId="NormalWeb">
    <w:name w:val="Normal (Web)"/>
    <w:basedOn w:val="Normal"/>
    <w:rsid w:val="00C13C1B"/>
    <w:pPr>
      <w:spacing w:before="100" w:beforeAutospacing="1" w:after="100" w:afterAutospacing="1"/>
    </w:pPr>
    <w:rPr>
      <w:rFonts w:ascii="Arial Unicode MS" w:eastAsia="Arial Unicode MS" w:hAnsi="Arial Unicode MS" w:cs="Arial Unicode MS"/>
    </w:rPr>
  </w:style>
  <w:style w:type="character" w:styleId="PageNumber">
    <w:name w:val="page number"/>
    <w:rsid w:val="00C13C1B"/>
    <w:rPr>
      <w:rFonts w:ascii="Arial" w:hAnsi="Arial"/>
      <w:sz w:val="18"/>
    </w:rPr>
  </w:style>
  <w:style w:type="paragraph" w:styleId="Quote">
    <w:name w:val="Quote"/>
    <w:basedOn w:val="Normal"/>
    <w:next w:val="Normal"/>
    <w:link w:val="QuoteChar"/>
    <w:uiPriority w:val="29"/>
    <w:rsid w:val="00C13C1B"/>
    <w:rPr>
      <w:i/>
    </w:rPr>
  </w:style>
  <w:style w:type="character" w:customStyle="1" w:styleId="QuoteChar">
    <w:name w:val="Quote Char"/>
    <w:link w:val="Quote"/>
    <w:uiPriority w:val="29"/>
    <w:rsid w:val="00C13C1B"/>
    <w:rPr>
      <w:rFonts w:ascii="Arial" w:eastAsia="Times New Roman" w:hAnsi="Arial" w:cs="Times New Roman"/>
      <w:i/>
      <w:color w:val="000000"/>
      <w:sz w:val="24"/>
      <w:szCs w:val="24"/>
      <w:lang w:eastAsia="en-GB"/>
    </w:rPr>
  </w:style>
  <w:style w:type="numbering" w:customStyle="1" w:styleId="StyleBulletedSymbolsymbolLeft063cmHanging063cm">
    <w:name w:val="Style Bulleted Symbol (symbol) Left:  0.63 cm Hanging:  0.63 cm"/>
    <w:basedOn w:val="NoList"/>
    <w:rsid w:val="00C13C1B"/>
    <w:pPr>
      <w:numPr>
        <w:numId w:val="20"/>
      </w:numPr>
    </w:pPr>
  </w:style>
  <w:style w:type="numbering" w:customStyle="1" w:styleId="StyleNumberedLeft0cmHanging075cm">
    <w:name w:val="Style Numbered Left:  0 cm Hanging:  0.75 cm"/>
    <w:basedOn w:val="NoList"/>
    <w:rsid w:val="00C13C1B"/>
    <w:pPr>
      <w:numPr>
        <w:numId w:val="19"/>
      </w:numPr>
    </w:pPr>
  </w:style>
  <w:style w:type="table" w:styleId="Table3Deffects1">
    <w:name w:val="Table 3D effects 1"/>
    <w:basedOn w:val="TableNormal"/>
    <w:rsid w:val="00C13C1B"/>
    <w:pPr>
      <w:spacing w:after="120" w:line="240" w:lineRule="auto"/>
    </w:pPr>
    <w:rPr>
      <w:rFonts w:ascii="Arial" w:eastAsia="Times New Roman"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3C1B"/>
    <w:pPr>
      <w:spacing w:after="120" w:line="240" w:lineRule="auto"/>
    </w:pPr>
    <w:rPr>
      <w:rFonts w:ascii="Arial" w:eastAsia="Times New Roman"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C13C1B"/>
    <w:pPr>
      <w:numPr>
        <w:numId w:val="0"/>
      </w:numPr>
    </w:pPr>
    <w:rPr>
      <w:bCs w:val="0"/>
      <w:szCs w:val="20"/>
    </w:rPr>
  </w:style>
  <w:style w:type="table" w:styleId="TableGrid">
    <w:name w:val="Table Grid"/>
    <w:basedOn w:val="TableNormal"/>
    <w:rsid w:val="00C13C1B"/>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C13C1B"/>
    <w:pPr>
      <w:spacing w:after="12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C13C1B"/>
    <w:pPr>
      <w:spacing w:before="120"/>
    </w:pPr>
    <w:rPr>
      <w:rFonts w:ascii="Cambria" w:hAnsi="Cambria"/>
      <w:b/>
      <w:bCs/>
    </w:rPr>
  </w:style>
  <w:style w:type="paragraph" w:styleId="TOC1">
    <w:name w:val="toc 1"/>
    <w:basedOn w:val="Normal"/>
    <w:next w:val="Normal"/>
    <w:autoRedefine/>
    <w:uiPriority w:val="39"/>
    <w:qFormat/>
    <w:rsid w:val="00C13C1B"/>
    <w:pPr>
      <w:tabs>
        <w:tab w:val="right" w:leader="dot" w:pos="9016"/>
      </w:tabs>
      <w:spacing w:after="100"/>
      <w:ind w:left="1134" w:hanging="567"/>
    </w:pPr>
    <w:rPr>
      <w:noProof/>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4E08-9E04-4E63-A9EB-006E158F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cphythian</dc:creator>
  <cp:lastModifiedBy>MALTON Jonathan</cp:lastModifiedBy>
  <cp:revision>7</cp:revision>
  <dcterms:created xsi:type="dcterms:W3CDTF">2020-07-13T15:07:00Z</dcterms:created>
  <dcterms:modified xsi:type="dcterms:W3CDTF">2024-11-26T20:11:00Z</dcterms:modified>
</cp:coreProperties>
</file>