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2FDF" w14:textId="77777777" w:rsidR="0008616F" w:rsidRPr="0008616F" w:rsidRDefault="00D5068C" w:rsidP="00D5068C">
      <w:pPr>
        <w:pStyle w:val="Heading1"/>
      </w:pPr>
      <w:bookmarkStart w:id="0" w:name="_Toc496107973"/>
      <w:bookmarkStart w:id="1" w:name="_Toc496701511"/>
      <w:bookmarkStart w:id="2" w:name="_Toc496702205"/>
      <w:bookmarkStart w:id="3" w:name="_Toc496702449"/>
      <w:bookmarkStart w:id="4" w:name="_Toc496702909"/>
      <w:bookmarkStart w:id="5" w:name="_Toc6322119"/>
      <w:bookmarkStart w:id="6" w:name="S17"/>
      <w:r>
        <w:t>17.</w:t>
      </w:r>
      <w:r w:rsidR="00E838EC">
        <w:tab/>
      </w:r>
      <w:r w:rsidR="0008616F" w:rsidRPr="0008616F">
        <w:t>C</w:t>
      </w:r>
      <w:r w:rsidR="00A92071">
        <w:t>all</w:t>
      </w:r>
      <w:r w:rsidR="0008616F" w:rsidRPr="0008616F">
        <w:t>-</w:t>
      </w:r>
      <w:r w:rsidR="00A92071">
        <w:t>in</w:t>
      </w:r>
      <w:r w:rsidR="0008616F" w:rsidRPr="0008616F">
        <w:t xml:space="preserve"> </w:t>
      </w:r>
      <w:bookmarkEnd w:id="0"/>
      <w:bookmarkEnd w:id="1"/>
      <w:bookmarkEnd w:id="2"/>
      <w:bookmarkEnd w:id="3"/>
      <w:bookmarkEnd w:id="4"/>
      <w:bookmarkEnd w:id="5"/>
      <w:r w:rsidR="00673F94">
        <w:t>p</w:t>
      </w:r>
      <w:r w:rsidR="00A92071">
        <w:t>rocedures</w:t>
      </w:r>
    </w:p>
    <w:p w14:paraId="6F762FE0" w14:textId="77777777" w:rsidR="0008616F" w:rsidRDefault="0008616F" w:rsidP="00221848">
      <w:pPr>
        <w:pStyle w:val="dNormParatext"/>
      </w:pPr>
    </w:p>
    <w:p w14:paraId="6F762FE1" w14:textId="77777777" w:rsidR="00F451E5" w:rsidRDefault="00F451E5" w:rsidP="006456B2">
      <w:pPr>
        <w:pStyle w:val="TOC1"/>
      </w:pPr>
    </w:p>
    <w:p w14:paraId="6F762FE2" w14:textId="77777777" w:rsidR="006456B2" w:rsidRDefault="00FD5D28" w:rsidP="006456B2">
      <w:pPr>
        <w:pStyle w:val="TOC1"/>
        <w:rPr>
          <w:rFonts w:asciiTheme="minorHAnsi" w:eastAsiaTheme="minorEastAsia" w:hAnsiTheme="minorHAnsi" w:cstheme="minorBidi"/>
          <w:color w:val="auto"/>
          <w:sz w:val="22"/>
          <w:szCs w:val="22"/>
        </w:rPr>
      </w:pPr>
      <w:r>
        <w:fldChar w:fldCharType="begin"/>
      </w:r>
      <w:r>
        <w:instrText xml:space="preserve"> TOC \o "2-2" \n \h \z \u </w:instrText>
      </w:r>
      <w:r>
        <w:fldChar w:fldCharType="separate"/>
      </w:r>
      <w:hyperlink w:anchor="_Toc45544917" w:history="1">
        <w:r w:rsidR="006456B2" w:rsidRPr="00196BB9">
          <w:rPr>
            <w:rStyle w:val="Hyperlink"/>
            <w14:scene3d>
              <w14:camera w14:prst="orthographicFront"/>
              <w14:lightRig w14:rig="threePt" w14:dir="t">
                <w14:rot w14:lat="0" w14:lon="0" w14:rev="0"/>
              </w14:lightRig>
            </w14:scene3d>
          </w:rPr>
          <w:t>17.1</w:t>
        </w:r>
        <w:r w:rsidR="006456B2">
          <w:rPr>
            <w:rFonts w:asciiTheme="minorHAnsi" w:eastAsiaTheme="minorEastAsia" w:hAnsiTheme="minorHAnsi" w:cstheme="minorBidi"/>
            <w:color w:val="auto"/>
            <w:sz w:val="22"/>
            <w:szCs w:val="22"/>
          </w:rPr>
          <w:tab/>
        </w:r>
        <w:r w:rsidR="006456B2" w:rsidRPr="00196BB9">
          <w:rPr>
            <w:rStyle w:val="Hyperlink"/>
          </w:rPr>
          <w:t>What decisions can be called in?</w:t>
        </w:r>
      </w:hyperlink>
    </w:p>
    <w:p w14:paraId="6F762FE3" w14:textId="77777777" w:rsidR="006456B2" w:rsidRDefault="004E5016" w:rsidP="006456B2">
      <w:pPr>
        <w:pStyle w:val="TOC1"/>
        <w:rPr>
          <w:rFonts w:asciiTheme="minorHAnsi" w:eastAsiaTheme="minorEastAsia" w:hAnsiTheme="minorHAnsi" w:cstheme="minorBidi"/>
          <w:color w:val="auto"/>
          <w:sz w:val="22"/>
          <w:szCs w:val="22"/>
        </w:rPr>
      </w:pPr>
      <w:hyperlink w:anchor="_Toc45544918" w:history="1">
        <w:r w:rsidR="006456B2" w:rsidRPr="00196BB9">
          <w:rPr>
            <w:rStyle w:val="Hyperlink"/>
            <w14:scene3d>
              <w14:camera w14:prst="orthographicFront"/>
              <w14:lightRig w14:rig="threePt" w14:dir="t">
                <w14:rot w14:lat="0" w14:lon="0" w14:rev="0"/>
              </w14:lightRig>
            </w14:scene3d>
          </w:rPr>
          <w:t>17.2</w:t>
        </w:r>
        <w:r w:rsidR="006456B2">
          <w:rPr>
            <w:rFonts w:asciiTheme="minorHAnsi" w:eastAsiaTheme="minorEastAsia" w:hAnsiTheme="minorHAnsi" w:cstheme="minorBidi"/>
            <w:color w:val="auto"/>
            <w:sz w:val="22"/>
            <w:szCs w:val="22"/>
          </w:rPr>
          <w:tab/>
        </w:r>
        <w:r w:rsidR="006456B2" w:rsidRPr="00196BB9">
          <w:rPr>
            <w:rStyle w:val="Hyperlink"/>
          </w:rPr>
          <w:t>Notices of decisions</w:t>
        </w:r>
      </w:hyperlink>
    </w:p>
    <w:p w14:paraId="6F762FE4" w14:textId="77777777" w:rsidR="006456B2" w:rsidRDefault="004E5016" w:rsidP="006456B2">
      <w:pPr>
        <w:pStyle w:val="TOC1"/>
        <w:rPr>
          <w:rFonts w:asciiTheme="minorHAnsi" w:eastAsiaTheme="minorEastAsia" w:hAnsiTheme="minorHAnsi" w:cstheme="minorBidi"/>
          <w:color w:val="auto"/>
          <w:sz w:val="22"/>
          <w:szCs w:val="22"/>
        </w:rPr>
      </w:pPr>
      <w:hyperlink w:anchor="_Toc45544919" w:history="1">
        <w:r w:rsidR="006456B2" w:rsidRPr="00196BB9">
          <w:rPr>
            <w:rStyle w:val="Hyperlink"/>
            <w14:scene3d>
              <w14:camera w14:prst="orthographicFront"/>
              <w14:lightRig w14:rig="threePt" w14:dir="t">
                <w14:rot w14:lat="0" w14:lon="0" w14:rev="0"/>
              </w14:lightRig>
            </w14:scene3d>
          </w:rPr>
          <w:t>17.3</w:t>
        </w:r>
        <w:r w:rsidR="006456B2">
          <w:rPr>
            <w:rFonts w:asciiTheme="minorHAnsi" w:eastAsiaTheme="minorEastAsia" w:hAnsiTheme="minorHAnsi" w:cstheme="minorBidi"/>
            <w:color w:val="auto"/>
            <w:sz w:val="22"/>
            <w:szCs w:val="22"/>
          </w:rPr>
          <w:tab/>
        </w:r>
        <w:r w:rsidR="006456B2" w:rsidRPr="00196BB9">
          <w:rPr>
            <w:rStyle w:val="Hyperlink"/>
          </w:rPr>
          <w:t>Who can call in decisions and when do they have to be called in by?</w:t>
        </w:r>
      </w:hyperlink>
    </w:p>
    <w:p w14:paraId="6F762FE5" w14:textId="77777777" w:rsidR="006456B2" w:rsidRDefault="004E5016" w:rsidP="006456B2">
      <w:pPr>
        <w:pStyle w:val="TOC1"/>
        <w:rPr>
          <w:rFonts w:asciiTheme="minorHAnsi" w:eastAsiaTheme="minorEastAsia" w:hAnsiTheme="minorHAnsi" w:cstheme="minorBidi"/>
          <w:color w:val="auto"/>
          <w:sz w:val="22"/>
          <w:szCs w:val="22"/>
        </w:rPr>
      </w:pPr>
      <w:hyperlink w:anchor="_Toc45544920" w:history="1">
        <w:r w:rsidR="006456B2" w:rsidRPr="00196BB9">
          <w:rPr>
            <w:rStyle w:val="Hyperlink"/>
            <w14:scene3d>
              <w14:camera w14:prst="orthographicFront"/>
              <w14:lightRig w14:rig="threePt" w14:dir="t">
                <w14:rot w14:lat="0" w14:lon="0" w14:rev="0"/>
              </w14:lightRig>
            </w14:scene3d>
          </w:rPr>
          <w:t>17.4</w:t>
        </w:r>
        <w:r w:rsidR="006456B2">
          <w:rPr>
            <w:rFonts w:asciiTheme="minorHAnsi" w:eastAsiaTheme="minorEastAsia" w:hAnsiTheme="minorHAnsi" w:cstheme="minorBidi"/>
            <w:color w:val="auto"/>
            <w:sz w:val="22"/>
            <w:szCs w:val="22"/>
          </w:rPr>
          <w:tab/>
        </w:r>
        <w:r w:rsidR="006456B2" w:rsidRPr="00196BB9">
          <w:rPr>
            <w:rStyle w:val="Hyperlink"/>
          </w:rPr>
          <w:t>How are decisions called in?</w:t>
        </w:r>
      </w:hyperlink>
    </w:p>
    <w:p w14:paraId="6F762FE6" w14:textId="77777777" w:rsidR="006456B2" w:rsidRDefault="004E5016" w:rsidP="006456B2">
      <w:pPr>
        <w:pStyle w:val="TOC1"/>
        <w:rPr>
          <w:rFonts w:asciiTheme="minorHAnsi" w:eastAsiaTheme="minorEastAsia" w:hAnsiTheme="minorHAnsi" w:cstheme="minorBidi"/>
          <w:color w:val="auto"/>
          <w:sz w:val="22"/>
          <w:szCs w:val="22"/>
        </w:rPr>
      </w:pPr>
      <w:hyperlink w:anchor="_Toc45544921" w:history="1">
        <w:r w:rsidR="006456B2" w:rsidRPr="00196BB9">
          <w:rPr>
            <w:rStyle w:val="Hyperlink"/>
            <w14:scene3d>
              <w14:camera w14:prst="orthographicFront"/>
              <w14:lightRig w14:rig="threePt" w14:dir="t">
                <w14:rot w14:lat="0" w14:lon="0" w14:rev="0"/>
              </w14:lightRig>
            </w14:scene3d>
          </w:rPr>
          <w:t>17.5</w:t>
        </w:r>
        <w:r w:rsidR="006456B2">
          <w:rPr>
            <w:rFonts w:asciiTheme="minorHAnsi" w:eastAsiaTheme="minorEastAsia" w:hAnsiTheme="minorHAnsi" w:cstheme="minorBidi"/>
            <w:color w:val="auto"/>
            <w:sz w:val="22"/>
            <w:szCs w:val="22"/>
          </w:rPr>
          <w:tab/>
        </w:r>
        <w:r w:rsidR="006456B2" w:rsidRPr="00196BB9">
          <w:rPr>
            <w:rStyle w:val="Hyperlink"/>
          </w:rPr>
          <w:t>Where are decisions called in to?</w:t>
        </w:r>
      </w:hyperlink>
    </w:p>
    <w:p w14:paraId="6F762FE7" w14:textId="77777777" w:rsidR="006456B2" w:rsidRDefault="004E5016" w:rsidP="006456B2">
      <w:pPr>
        <w:pStyle w:val="TOC1"/>
        <w:rPr>
          <w:rFonts w:asciiTheme="minorHAnsi" w:eastAsiaTheme="minorEastAsia" w:hAnsiTheme="minorHAnsi" w:cstheme="minorBidi"/>
          <w:color w:val="auto"/>
          <w:sz w:val="22"/>
          <w:szCs w:val="22"/>
        </w:rPr>
      </w:pPr>
      <w:hyperlink w:anchor="_Toc45544922" w:history="1">
        <w:r w:rsidR="006456B2" w:rsidRPr="00196BB9">
          <w:rPr>
            <w:rStyle w:val="Hyperlink"/>
            <w14:scene3d>
              <w14:camera w14:prst="orthographicFront"/>
              <w14:lightRig w14:rig="threePt" w14:dir="t">
                <w14:rot w14:lat="0" w14:lon="0" w14:rev="0"/>
              </w14:lightRig>
            </w14:scene3d>
          </w:rPr>
          <w:t>17.6</w:t>
        </w:r>
        <w:r w:rsidR="006456B2">
          <w:rPr>
            <w:rFonts w:asciiTheme="minorHAnsi" w:eastAsiaTheme="minorEastAsia" w:hAnsiTheme="minorHAnsi" w:cstheme="minorBidi"/>
            <w:color w:val="auto"/>
            <w:sz w:val="22"/>
            <w:szCs w:val="22"/>
          </w:rPr>
          <w:tab/>
        </w:r>
        <w:r w:rsidR="006456B2" w:rsidRPr="00196BB9">
          <w:rPr>
            <w:rStyle w:val="Hyperlink"/>
          </w:rPr>
          <w:t>What happens when a planning decision is called in?</w:t>
        </w:r>
      </w:hyperlink>
    </w:p>
    <w:p w14:paraId="6F762FE8" w14:textId="77777777" w:rsidR="006456B2" w:rsidRDefault="004E5016" w:rsidP="006456B2">
      <w:pPr>
        <w:pStyle w:val="TOC1"/>
        <w:rPr>
          <w:rFonts w:asciiTheme="minorHAnsi" w:eastAsiaTheme="minorEastAsia" w:hAnsiTheme="minorHAnsi" w:cstheme="minorBidi"/>
          <w:color w:val="auto"/>
          <w:sz w:val="22"/>
          <w:szCs w:val="22"/>
        </w:rPr>
      </w:pPr>
      <w:hyperlink w:anchor="_Toc45544923" w:history="1">
        <w:r w:rsidR="006456B2" w:rsidRPr="00196BB9">
          <w:rPr>
            <w:rStyle w:val="Hyperlink"/>
            <w14:scene3d>
              <w14:camera w14:prst="orthographicFront"/>
              <w14:lightRig w14:rig="threePt" w14:dir="t">
                <w14:rot w14:lat="0" w14:lon="0" w14:rev="0"/>
              </w14:lightRig>
            </w14:scene3d>
          </w:rPr>
          <w:t>17.7</w:t>
        </w:r>
        <w:r w:rsidR="006456B2">
          <w:rPr>
            <w:rFonts w:asciiTheme="minorHAnsi" w:eastAsiaTheme="minorEastAsia" w:hAnsiTheme="minorHAnsi" w:cstheme="minorBidi"/>
            <w:color w:val="auto"/>
            <w:sz w:val="22"/>
            <w:szCs w:val="22"/>
          </w:rPr>
          <w:tab/>
        </w:r>
        <w:r w:rsidR="006456B2" w:rsidRPr="00196BB9">
          <w:rPr>
            <w:rStyle w:val="Hyperlink"/>
          </w:rPr>
          <w:t>What happens when a decision is called in to the Scrutiny Committee?</w:t>
        </w:r>
      </w:hyperlink>
    </w:p>
    <w:p w14:paraId="6F762FE9" w14:textId="77777777" w:rsidR="006456B2" w:rsidRDefault="004E5016" w:rsidP="006456B2">
      <w:pPr>
        <w:pStyle w:val="TOC1"/>
        <w:rPr>
          <w:rFonts w:asciiTheme="minorHAnsi" w:eastAsiaTheme="minorEastAsia" w:hAnsiTheme="minorHAnsi" w:cstheme="minorBidi"/>
          <w:color w:val="auto"/>
          <w:sz w:val="22"/>
          <w:szCs w:val="22"/>
        </w:rPr>
      </w:pPr>
      <w:hyperlink w:anchor="_Toc45544924" w:history="1">
        <w:r w:rsidR="006456B2" w:rsidRPr="00196BB9">
          <w:rPr>
            <w:rStyle w:val="Hyperlink"/>
            <w14:scene3d>
              <w14:camera w14:prst="orthographicFront"/>
              <w14:lightRig w14:rig="threePt" w14:dir="t">
                <w14:rot w14:lat="0" w14:lon="0" w14:rev="0"/>
              </w14:lightRig>
            </w14:scene3d>
          </w:rPr>
          <w:t>17.8</w:t>
        </w:r>
        <w:r w:rsidR="006456B2">
          <w:rPr>
            <w:rFonts w:asciiTheme="minorHAnsi" w:eastAsiaTheme="minorEastAsia" w:hAnsiTheme="minorHAnsi" w:cstheme="minorBidi"/>
            <w:color w:val="auto"/>
            <w:sz w:val="22"/>
            <w:szCs w:val="22"/>
          </w:rPr>
          <w:tab/>
        </w:r>
        <w:r w:rsidR="006456B2" w:rsidRPr="00196BB9">
          <w:rPr>
            <w:rStyle w:val="Hyperlink"/>
          </w:rPr>
          <w:t>Decision believed to be outside the budget or policy framework</w:t>
        </w:r>
      </w:hyperlink>
    </w:p>
    <w:p w14:paraId="6F762FEA" w14:textId="77777777" w:rsidR="006456B2" w:rsidRDefault="004E5016" w:rsidP="006456B2">
      <w:pPr>
        <w:pStyle w:val="TOC1"/>
        <w:rPr>
          <w:rFonts w:asciiTheme="minorHAnsi" w:eastAsiaTheme="minorEastAsia" w:hAnsiTheme="minorHAnsi" w:cstheme="minorBidi"/>
          <w:color w:val="auto"/>
          <w:sz w:val="22"/>
          <w:szCs w:val="22"/>
        </w:rPr>
      </w:pPr>
      <w:hyperlink w:anchor="_Toc45544925" w:history="1">
        <w:r w:rsidR="006456B2" w:rsidRPr="00196BB9">
          <w:rPr>
            <w:rStyle w:val="Hyperlink"/>
            <w14:scene3d>
              <w14:camera w14:prst="orthographicFront"/>
              <w14:lightRig w14:rig="threePt" w14:dir="t">
                <w14:rot w14:lat="0" w14:lon="0" w14:rev="0"/>
              </w14:lightRig>
            </w14:scene3d>
          </w:rPr>
          <w:t>17.9</w:t>
        </w:r>
        <w:r w:rsidR="006456B2">
          <w:rPr>
            <w:rFonts w:asciiTheme="minorHAnsi" w:eastAsiaTheme="minorEastAsia" w:hAnsiTheme="minorHAnsi" w:cstheme="minorBidi"/>
            <w:color w:val="auto"/>
            <w:sz w:val="22"/>
            <w:szCs w:val="22"/>
          </w:rPr>
          <w:tab/>
        </w:r>
        <w:r w:rsidR="006456B2" w:rsidRPr="00196BB9">
          <w:rPr>
            <w:rStyle w:val="Hyperlink"/>
          </w:rPr>
          <w:t>Urgent decisions</w:t>
        </w:r>
      </w:hyperlink>
    </w:p>
    <w:p w14:paraId="6F762FEB" w14:textId="77777777" w:rsidR="00F451E5" w:rsidRPr="00F451E5" w:rsidRDefault="00FD5D28" w:rsidP="006456B2">
      <w:pPr>
        <w:pStyle w:val="TOC1"/>
      </w:pPr>
      <w:r>
        <w:fldChar w:fldCharType="end"/>
      </w:r>
    </w:p>
    <w:p w14:paraId="6F762FEC" w14:textId="77777777" w:rsidR="002F0F1E" w:rsidRPr="00AA42C1" w:rsidRDefault="0008616F" w:rsidP="00AA42C1">
      <w:pPr>
        <w:pStyle w:val="Heading2"/>
      </w:pPr>
      <w:bookmarkStart w:id="7" w:name="_Toc496107974"/>
      <w:bookmarkStart w:id="8" w:name="_Toc496108649"/>
      <w:bookmarkStart w:id="9" w:name="_Toc496110543"/>
      <w:bookmarkStart w:id="10" w:name="_Toc529972038"/>
      <w:bookmarkStart w:id="11" w:name="_Toc45544917"/>
      <w:r w:rsidRPr="00D5068C">
        <w:t>What decisions can be called in?</w:t>
      </w:r>
      <w:bookmarkEnd w:id="7"/>
      <w:bookmarkEnd w:id="8"/>
      <w:bookmarkEnd w:id="9"/>
      <w:bookmarkEnd w:id="10"/>
      <w:bookmarkEnd w:id="11"/>
    </w:p>
    <w:p w14:paraId="6F762FED" w14:textId="77777777" w:rsidR="0008616F" w:rsidRPr="006456B2" w:rsidRDefault="0008616F" w:rsidP="00D5068C">
      <w:pPr>
        <w:pStyle w:val="dNormParatext"/>
        <w:rPr>
          <w:i/>
          <w:color w:val="000000" w:themeColor="text1"/>
        </w:rPr>
      </w:pPr>
      <w:r w:rsidRPr="006456B2">
        <w:rPr>
          <w:i/>
          <w:color w:val="000000" w:themeColor="text1"/>
        </w:rPr>
        <w:t>The following decisions can be called in:</w:t>
      </w:r>
    </w:p>
    <w:p w14:paraId="6F762FEE" w14:textId="77777777" w:rsidR="0008616F" w:rsidRPr="006456B2" w:rsidRDefault="0008616F" w:rsidP="00D5068C">
      <w:pPr>
        <w:pStyle w:val="dBulletpoints"/>
        <w:rPr>
          <w:i/>
          <w:color w:val="000000" w:themeColor="text1"/>
        </w:rPr>
      </w:pPr>
      <w:r w:rsidRPr="006456B2">
        <w:rPr>
          <w:i/>
          <w:color w:val="000000" w:themeColor="text1"/>
        </w:rPr>
        <w:t>resolutions by the Cabinet</w:t>
      </w:r>
    </w:p>
    <w:p w14:paraId="6F762FEF" w14:textId="77777777" w:rsidR="0008616F" w:rsidRPr="006456B2" w:rsidRDefault="0008616F" w:rsidP="00D5068C">
      <w:pPr>
        <w:pStyle w:val="dBulletpoints"/>
        <w:rPr>
          <w:i/>
          <w:color w:val="000000" w:themeColor="text1"/>
        </w:rPr>
      </w:pPr>
      <w:r w:rsidRPr="006456B2">
        <w:rPr>
          <w:i/>
          <w:color w:val="000000" w:themeColor="text1"/>
        </w:rPr>
        <w:t>key decisions taken by officers</w:t>
      </w:r>
    </w:p>
    <w:p w14:paraId="6F762FF0" w14:textId="77777777" w:rsidR="0008616F" w:rsidRPr="006456B2" w:rsidRDefault="0008616F" w:rsidP="00D5068C">
      <w:pPr>
        <w:pStyle w:val="dBulletpoints"/>
        <w:rPr>
          <w:i/>
          <w:color w:val="000000" w:themeColor="text1"/>
        </w:rPr>
      </w:pPr>
      <w:r w:rsidRPr="006456B2">
        <w:rPr>
          <w:i/>
          <w:color w:val="000000" w:themeColor="text1"/>
        </w:rPr>
        <w:t>ward member spend (</w:t>
      </w:r>
      <w:r w:rsidR="006101E6" w:rsidRPr="006456B2">
        <w:rPr>
          <w:i/>
          <w:color w:val="000000" w:themeColor="text1"/>
        </w:rPr>
        <w:t xml:space="preserve">Part </w:t>
      </w:r>
      <w:r w:rsidRPr="006456B2">
        <w:rPr>
          <w:i/>
          <w:color w:val="000000" w:themeColor="text1"/>
        </w:rPr>
        <w:t>4.</w:t>
      </w:r>
      <w:r w:rsidR="00586DBA">
        <w:rPr>
          <w:i/>
          <w:color w:val="000000" w:themeColor="text1"/>
        </w:rPr>
        <w:t>7</w:t>
      </w:r>
      <w:r w:rsidRPr="006456B2">
        <w:rPr>
          <w:i/>
          <w:color w:val="000000" w:themeColor="text1"/>
        </w:rPr>
        <w:t>)</w:t>
      </w:r>
    </w:p>
    <w:p w14:paraId="6F762FF1" w14:textId="77777777" w:rsidR="0008616F" w:rsidRPr="006456B2" w:rsidRDefault="0008616F" w:rsidP="00D5068C">
      <w:pPr>
        <w:pStyle w:val="dBulletpoints"/>
        <w:rPr>
          <w:i/>
          <w:color w:val="000000" w:themeColor="text1"/>
        </w:rPr>
      </w:pPr>
      <w:r w:rsidRPr="006456B2">
        <w:rPr>
          <w:i/>
          <w:color w:val="000000" w:themeColor="text1"/>
        </w:rPr>
        <w:t>planning</w:t>
      </w:r>
      <w:r w:rsidR="00D2126B">
        <w:rPr>
          <w:i/>
          <w:color w:val="000000" w:themeColor="text1"/>
        </w:rPr>
        <w:t xml:space="preserve"> decision</w:t>
      </w:r>
      <w:r w:rsidR="00813E14">
        <w:rPr>
          <w:i/>
          <w:color w:val="000000" w:themeColor="text1"/>
        </w:rPr>
        <w:t>s</w:t>
      </w:r>
      <w:r w:rsidR="00D2126B">
        <w:rPr>
          <w:i/>
          <w:color w:val="000000" w:themeColor="text1"/>
        </w:rPr>
        <w:t xml:space="preserve"> taken by </w:t>
      </w:r>
      <w:r w:rsidR="00813E14">
        <w:rPr>
          <w:i/>
          <w:color w:val="000000" w:themeColor="text1"/>
        </w:rPr>
        <w:t xml:space="preserve">the </w:t>
      </w:r>
      <w:r w:rsidR="00D2126B" w:rsidRPr="008F4367">
        <w:rPr>
          <w:i/>
        </w:rPr>
        <w:t>Oxford City</w:t>
      </w:r>
      <w:r w:rsidR="00813E14">
        <w:rPr>
          <w:i/>
        </w:rPr>
        <w:t xml:space="preserve"> Planning C</w:t>
      </w:r>
      <w:r w:rsidR="00D2126B" w:rsidRPr="00D2126B">
        <w:rPr>
          <w:i/>
        </w:rPr>
        <w:t>ommittee</w:t>
      </w:r>
      <w:r w:rsidR="00D2126B" w:rsidRPr="006456B2">
        <w:rPr>
          <w:i/>
          <w:color w:val="000000" w:themeColor="text1"/>
        </w:rPr>
        <w:t xml:space="preserve"> </w:t>
      </w:r>
    </w:p>
    <w:p w14:paraId="6F762FF2" w14:textId="77777777" w:rsidR="0008616F" w:rsidRPr="006456B2" w:rsidRDefault="0008616F" w:rsidP="00D5068C">
      <w:pPr>
        <w:pStyle w:val="dBulletpoints"/>
        <w:rPr>
          <w:i/>
          <w:color w:val="000000" w:themeColor="text1"/>
        </w:rPr>
      </w:pPr>
      <w:r w:rsidRPr="006456B2">
        <w:rPr>
          <w:i/>
          <w:color w:val="000000" w:themeColor="text1"/>
        </w:rPr>
        <w:t xml:space="preserve">decisions on planning applications that were going to be taken by the Head of Planning </w:t>
      </w:r>
      <w:r w:rsidR="00E838EC" w:rsidRPr="006456B2">
        <w:rPr>
          <w:i/>
          <w:color w:val="000000" w:themeColor="text1"/>
        </w:rPr>
        <w:t>Services</w:t>
      </w:r>
    </w:p>
    <w:p w14:paraId="6F762FF3" w14:textId="77777777" w:rsidR="00F451E5" w:rsidRPr="006456B2" w:rsidRDefault="00F451E5" w:rsidP="00F451E5">
      <w:pPr>
        <w:pStyle w:val="dBulletpoints"/>
        <w:numPr>
          <w:ilvl w:val="0"/>
          <w:numId w:val="0"/>
        </w:numPr>
        <w:ind w:left="1418"/>
      </w:pPr>
    </w:p>
    <w:p w14:paraId="6F762FF4" w14:textId="77777777" w:rsidR="0008616F" w:rsidRPr="006456B2" w:rsidRDefault="0008616F" w:rsidP="00D5068C">
      <w:pPr>
        <w:pStyle w:val="Heading2"/>
      </w:pPr>
      <w:bookmarkStart w:id="12" w:name="_Toc496107975"/>
      <w:bookmarkStart w:id="13" w:name="_Toc496108650"/>
      <w:bookmarkStart w:id="14" w:name="_Toc496110544"/>
      <w:bookmarkStart w:id="15" w:name="_Toc529972039"/>
      <w:bookmarkStart w:id="16" w:name="_Toc45544918"/>
      <w:r w:rsidRPr="006456B2">
        <w:t>Notices of decisions</w:t>
      </w:r>
      <w:bookmarkEnd w:id="12"/>
      <w:bookmarkEnd w:id="13"/>
      <w:bookmarkEnd w:id="14"/>
      <w:bookmarkEnd w:id="15"/>
      <w:bookmarkEnd w:id="16"/>
    </w:p>
    <w:p w14:paraId="6F762FF5" w14:textId="77777777" w:rsidR="0008616F" w:rsidRPr="006456B2" w:rsidRDefault="0008616F" w:rsidP="00D5068C">
      <w:pPr>
        <w:pStyle w:val="dLetterLettPara"/>
      </w:pPr>
      <w:r w:rsidRPr="006456B2">
        <w:t>After a decision is taken that could be called in (or when Committee and Member Services are notified of the decision if that is later), Committee and Member Services will send electronically a notice of decision to all councillors (and any co-opted members of the body that took the decision) within two working d</w:t>
      </w:r>
      <w:r w:rsidR="00D5068C" w:rsidRPr="006456B2">
        <w:t>ays of the decision.</w:t>
      </w:r>
    </w:p>
    <w:p w14:paraId="6F762FF6" w14:textId="77777777" w:rsidR="0008616F" w:rsidRPr="006456B2" w:rsidRDefault="0008616F" w:rsidP="00D5068C">
      <w:pPr>
        <w:pStyle w:val="dLetterLettPara"/>
      </w:pPr>
      <w:r w:rsidRPr="006456B2">
        <w:t xml:space="preserve">A notice of decision relating to ward member spend will, after the approval provided for in </w:t>
      </w:r>
      <w:r w:rsidR="00E838EC" w:rsidRPr="006456B2">
        <w:t xml:space="preserve">Part </w:t>
      </w:r>
      <w:r w:rsidRPr="006456B2">
        <w:t>4.6(c)</w:t>
      </w:r>
      <w:r w:rsidR="00E838EC" w:rsidRPr="006456B2">
        <w:t>,</w:t>
      </w:r>
      <w:r w:rsidRPr="006456B2">
        <w:t xml:space="preserve"> be sent by Community Services to all councillors within five working days of the approval.</w:t>
      </w:r>
    </w:p>
    <w:p w14:paraId="6F762FF7" w14:textId="77777777" w:rsidR="0008616F" w:rsidRPr="006456B2" w:rsidRDefault="0008616F" w:rsidP="00D5068C">
      <w:pPr>
        <w:pStyle w:val="dLetterLettPara"/>
      </w:pPr>
      <w:r w:rsidRPr="006456B2">
        <w:t>The notice of decision will say what the decision was and where it can be called in to.</w:t>
      </w:r>
    </w:p>
    <w:p w14:paraId="6F762FF8" w14:textId="77777777" w:rsidR="0008616F" w:rsidRPr="006456B2" w:rsidRDefault="0008616F" w:rsidP="00D5068C">
      <w:pPr>
        <w:pStyle w:val="dLetterLettPara"/>
      </w:pPr>
      <w:r w:rsidRPr="006456B2">
        <w:t>The notice of decision will be marked with the date it was published and will say that the decision will come into force if it is not called in within two working days of that date.</w:t>
      </w:r>
    </w:p>
    <w:p w14:paraId="6F762FF9" w14:textId="77777777" w:rsidR="00F451E5" w:rsidRPr="006456B2" w:rsidRDefault="00F451E5" w:rsidP="00F451E5">
      <w:pPr>
        <w:pStyle w:val="dLetterLettPara"/>
        <w:numPr>
          <w:ilvl w:val="0"/>
          <w:numId w:val="0"/>
        </w:numPr>
        <w:ind w:left="993"/>
      </w:pPr>
    </w:p>
    <w:p w14:paraId="6F762FFA" w14:textId="77777777" w:rsidR="0008616F" w:rsidRPr="006456B2" w:rsidRDefault="0008616F" w:rsidP="00D5068C">
      <w:pPr>
        <w:pStyle w:val="Heading2"/>
      </w:pPr>
      <w:bookmarkStart w:id="17" w:name="_Toc496107976"/>
      <w:bookmarkStart w:id="18" w:name="_Toc496108651"/>
      <w:bookmarkStart w:id="19" w:name="_Toc496110545"/>
      <w:bookmarkStart w:id="20" w:name="_Toc529972040"/>
      <w:bookmarkStart w:id="21" w:name="_Toc45544919"/>
      <w:r w:rsidRPr="006456B2">
        <w:lastRenderedPageBreak/>
        <w:t>Who can call in decisions and when do they have to be called in by?</w:t>
      </w:r>
      <w:bookmarkEnd w:id="17"/>
      <w:bookmarkEnd w:id="18"/>
      <w:bookmarkEnd w:id="19"/>
      <w:bookmarkEnd w:id="20"/>
      <w:bookmarkEnd w:id="21"/>
    </w:p>
    <w:tbl>
      <w:tblPr>
        <w:tblW w:w="7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410"/>
        <w:gridCol w:w="2640"/>
      </w:tblGrid>
      <w:tr w:rsidR="00221848" w:rsidRPr="006456B2" w14:paraId="6F762FFE" w14:textId="77777777" w:rsidTr="00221848">
        <w:tc>
          <w:tcPr>
            <w:tcW w:w="2834" w:type="dxa"/>
            <w:tcBorders>
              <w:top w:val="single" w:sz="4" w:space="0" w:color="auto"/>
              <w:left w:val="single" w:sz="4" w:space="0" w:color="auto"/>
              <w:bottom w:val="single" w:sz="4" w:space="0" w:color="auto"/>
              <w:right w:val="single" w:sz="4" w:space="0" w:color="auto"/>
            </w:tcBorders>
            <w:shd w:val="clear" w:color="auto" w:fill="auto"/>
          </w:tcPr>
          <w:p w14:paraId="6F762FFB" w14:textId="77777777" w:rsidR="00221848" w:rsidRPr="006456B2" w:rsidRDefault="00221848" w:rsidP="00656CDD">
            <w:pPr>
              <w:pStyle w:val="dNormParatext"/>
              <w:spacing w:before="120"/>
              <w:ind w:left="33"/>
              <w:rPr>
                <w:b/>
              </w:rPr>
            </w:pPr>
            <w:r w:rsidRPr="006456B2">
              <w:rPr>
                <w:b/>
              </w:rPr>
              <w:t>Decision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762FFC" w14:textId="77777777" w:rsidR="00221848" w:rsidRPr="006456B2" w:rsidRDefault="00221848" w:rsidP="00221848">
            <w:pPr>
              <w:autoSpaceDE w:val="0"/>
              <w:autoSpaceDN w:val="0"/>
              <w:adjustRightInd w:val="0"/>
              <w:ind w:left="178" w:right="17"/>
              <w:rPr>
                <w:rFonts w:cs="Arial"/>
                <w:b/>
                <w:color w:val="auto"/>
                <w:lang w:eastAsia="en-US"/>
              </w:rPr>
            </w:pPr>
            <w:r w:rsidRPr="006456B2">
              <w:rPr>
                <w:rFonts w:cs="Arial"/>
                <w:b/>
                <w:color w:val="auto"/>
                <w:lang w:eastAsia="en-US"/>
              </w:rPr>
              <w:t>Can be called in by</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6F762FFD" w14:textId="77777777" w:rsidR="00221848" w:rsidRPr="006456B2" w:rsidRDefault="00221848" w:rsidP="00221848">
            <w:pPr>
              <w:autoSpaceDE w:val="0"/>
              <w:autoSpaceDN w:val="0"/>
              <w:adjustRightInd w:val="0"/>
              <w:ind w:left="178" w:right="17"/>
              <w:rPr>
                <w:b/>
                <w:color w:val="auto"/>
                <w:lang w:eastAsia="en-US"/>
              </w:rPr>
            </w:pPr>
            <w:r w:rsidRPr="006456B2">
              <w:rPr>
                <w:b/>
                <w:color w:val="auto"/>
                <w:lang w:eastAsia="en-US"/>
              </w:rPr>
              <w:t>Deadline</w:t>
            </w:r>
          </w:p>
        </w:tc>
      </w:tr>
      <w:tr w:rsidR="0008616F" w:rsidRPr="006456B2" w14:paraId="6F763003" w14:textId="77777777" w:rsidTr="00221848">
        <w:tc>
          <w:tcPr>
            <w:tcW w:w="2834" w:type="dxa"/>
            <w:shd w:val="clear" w:color="auto" w:fill="auto"/>
          </w:tcPr>
          <w:p w14:paraId="6F762FFF" w14:textId="77777777" w:rsidR="0008616F" w:rsidRPr="006456B2" w:rsidRDefault="0008616F" w:rsidP="00221848">
            <w:pPr>
              <w:pStyle w:val="dNormParatext"/>
              <w:spacing w:before="120"/>
              <w:ind w:left="33"/>
              <w:rPr>
                <w:rFonts w:cs="Arial"/>
              </w:rPr>
            </w:pPr>
            <w:r w:rsidRPr="006456B2">
              <w:t xml:space="preserve">Decisions on planning applications (those seeking determinations within 5.3(a)) to be taken by the Head of Planning </w:t>
            </w:r>
            <w:r w:rsidR="00E838EC" w:rsidRPr="006456B2">
              <w:t>Services</w:t>
            </w:r>
          </w:p>
        </w:tc>
        <w:tc>
          <w:tcPr>
            <w:tcW w:w="2410" w:type="dxa"/>
            <w:shd w:val="clear" w:color="auto" w:fill="auto"/>
          </w:tcPr>
          <w:p w14:paraId="6F763000" w14:textId="77777777" w:rsidR="0008616F" w:rsidRPr="006456B2" w:rsidRDefault="0008616F" w:rsidP="008E0BB9">
            <w:pPr>
              <w:autoSpaceDE w:val="0"/>
              <w:autoSpaceDN w:val="0"/>
              <w:adjustRightInd w:val="0"/>
              <w:ind w:left="178" w:right="17"/>
              <w:rPr>
                <w:rFonts w:cs="Arial"/>
                <w:color w:val="auto"/>
                <w:lang w:eastAsia="en-US"/>
              </w:rPr>
            </w:pPr>
            <w:r w:rsidRPr="006456B2">
              <w:rPr>
                <w:rFonts w:cs="Arial"/>
                <w:color w:val="auto"/>
                <w:lang w:eastAsia="en-US"/>
              </w:rPr>
              <w:t xml:space="preserve">Any </w:t>
            </w:r>
            <w:r w:rsidR="00BB2C03" w:rsidRPr="006456B2">
              <w:rPr>
                <w:rFonts w:cs="Arial"/>
                <w:color w:val="auto"/>
                <w:lang w:eastAsia="en-US"/>
              </w:rPr>
              <w:t>six</w:t>
            </w:r>
            <w:r w:rsidRPr="006456B2">
              <w:rPr>
                <w:rFonts w:cs="Arial"/>
                <w:color w:val="auto"/>
                <w:lang w:eastAsia="en-US"/>
              </w:rPr>
              <w:t xml:space="preserve"> councillors</w:t>
            </w:r>
          </w:p>
        </w:tc>
        <w:tc>
          <w:tcPr>
            <w:tcW w:w="2640" w:type="dxa"/>
            <w:shd w:val="clear" w:color="auto" w:fill="auto"/>
          </w:tcPr>
          <w:p w14:paraId="6F763001" w14:textId="77777777" w:rsidR="0008616F" w:rsidRPr="006456B2" w:rsidRDefault="0008616F" w:rsidP="0008616F">
            <w:pPr>
              <w:autoSpaceDE w:val="0"/>
              <w:autoSpaceDN w:val="0"/>
              <w:adjustRightInd w:val="0"/>
              <w:ind w:left="178" w:right="17"/>
              <w:rPr>
                <w:color w:val="auto"/>
                <w:lang w:eastAsia="en-US"/>
              </w:rPr>
            </w:pPr>
            <w:r w:rsidRPr="006456B2">
              <w:rPr>
                <w:color w:val="auto"/>
                <w:lang w:eastAsia="en-US"/>
              </w:rPr>
              <w:t>5pm on the last day of the period of 21-days starting with the day on which notice of the application is sent to councillors</w:t>
            </w:r>
            <w:r w:rsidR="00BB2C03" w:rsidRPr="006456B2">
              <w:rPr>
                <w:color w:val="auto"/>
                <w:lang w:eastAsia="en-US"/>
              </w:rPr>
              <w:t xml:space="preserve"> (via the weekly planning list</w:t>
            </w:r>
            <w:r w:rsidR="00BB2C03" w:rsidRPr="004B7F47">
              <w:rPr>
                <w:color w:val="auto"/>
                <w:lang w:eastAsia="en-US"/>
              </w:rPr>
              <w:t>)</w:t>
            </w:r>
            <w:r w:rsidR="004B7F47" w:rsidRPr="004B7F47">
              <w:rPr>
                <w:rFonts w:cs="Arial"/>
              </w:rPr>
              <w:t>; or, in instances where there are significant changes to material planning considerations, as determined by the Head of Planning Services, after the initial notice of the application is sent to councillors via the weekly planning list, 5pm on the last day of the period of 21-days starting with the day on which councillors are re-notified (via the weekly list).</w:t>
            </w:r>
          </w:p>
          <w:p w14:paraId="6F763002" w14:textId="77777777" w:rsidR="0008616F" w:rsidRPr="006456B2" w:rsidRDefault="0008616F" w:rsidP="0008616F">
            <w:pPr>
              <w:autoSpaceDE w:val="0"/>
              <w:autoSpaceDN w:val="0"/>
              <w:adjustRightInd w:val="0"/>
              <w:ind w:left="178" w:right="17"/>
              <w:rPr>
                <w:rFonts w:cs="Arial"/>
                <w:color w:val="auto"/>
                <w:lang w:eastAsia="en-US"/>
              </w:rPr>
            </w:pPr>
          </w:p>
        </w:tc>
      </w:tr>
      <w:tr w:rsidR="0008616F" w:rsidRPr="006456B2" w14:paraId="6F763008" w14:textId="77777777" w:rsidTr="00221848">
        <w:tc>
          <w:tcPr>
            <w:tcW w:w="2834" w:type="dxa"/>
            <w:shd w:val="clear" w:color="auto" w:fill="auto"/>
          </w:tcPr>
          <w:p w14:paraId="6F763004" w14:textId="77777777" w:rsidR="0008616F" w:rsidRPr="006456B2" w:rsidRDefault="0008616F" w:rsidP="008F4367">
            <w:pPr>
              <w:pStyle w:val="dNormParatext"/>
              <w:spacing w:before="120"/>
              <w:ind w:left="33"/>
            </w:pPr>
            <w:r w:rsidRPr="006456B2">
              <w:t xml:space="preserve">Planning decisions (those within 5.3(a)) taken by </w:t>
            </w:r>
            <w:r w:rsidR="00D2126B" w:rsidRPr="008F4367">
              <w:t>Oxford City</w:t>
            </w:r>
            <w:r w:rsidR="00D2126B">
              <w:t xml:space="preserve"> </w:t>
            </w:r>
            <w:r w:rsidR="008F4367">
              <w:t>Planning C</w:t>
            </w:r>
            <w:r w:rsidR="00D2126B" w:rsidRPr="006456B2">
              <w:t>ommittee</w:t>
            </w:r>
          </w:p>
        </w:tc>
        <w:tc>
          <w:tcPr>
            <w:tcW w:w="2410" w:type="dxa"/>
            <w:shd w:val="clear" w:color="auto" w:fill="auto"/>
          </w:tcPr>
          <w:p w14:paraId="6F763005" w14:textId="77777777" w:rsidR="0008616F" w:rsidRPr="006456B2" w:rsidRDefault="0008616F" w:rsidP="00221848">
            <w:pPr>
              <w:pStyle w:val="dNormParatext"/>
              <w:spacing w:before="120"/>
              <w:ind w:left="33"/>
            </w:pPr>
            <w:r w:rsidRPr="006456B2">
              <w:t xml:space="preserve">Any twelve councillors or the Head of Planning </w:t>
            </w:r>
            <w:r w:rsidR="00E838EC" w:rsidRPr="006456B2">
              <w:t>Services</w:t>
            </w:r>
          </w:p>
          <w:p w14:paraId="6F763006" w14:textId="77777777" w:rsidR="0008616F" w:rsidRPr="006456B2" w:rsidRDefault="0008616F" w:rsidP="00221848">
            <w:pPr>
              <w:pStyle w:val="dNormParatext"/>
              <w:spacing w:before="120"/>
              <w:ind w:left="33"/>
            </w:pPr>
          </w:p>
        </w:tc>
        <w:tc>
          <w:tcPr>
            <w:tcW w:w="2640" w:type="dxa"/>
            <w:shd w:val="clear" w:color="auto" w:fill="auto"/>
          </w:tcPr>
          <w:p w14:paraId="6F763007" w14:textId="77777777" w:rsidR="0008616F" w:rsidRPr="006456B2" w:rsidRDefault="0008616F" w:rsidP="00221848">
            <w:pPr>
              <w:pStyle w:val="dNormParatext"/>
              <w:spacing w:before="120"/>
              <w:ind w:left="33"/>
            </w:pPr>
            <w:r w:rsidRPr="006456B2">
              <w:t>5pm on the last day of the period of two working days starting the day after that on which the draft minute of the decision is published</w:t>
            </w:r>
          </w:p>
        </w:tc>
      </w:tr>
      <w:tr w:rsidR="0008616F" w:rsidRPr="006456B2" w14:paraId="6F76300C" w14:textId="77777777" w:rsidTr="00221848">
        <w:tc>
          <w:tcPr>
            <w:tcW w:w="2834" w:type="dxa"/>
            <w:shd w:val="clear" w:color="auto" w:fill="auto"/>
          </w:tcPr>
          <w:p w14:paraId="6F763009" w14:textId="77777777" w:rsidR="0008616F" w:rsidRPr="006456B2" w:rsidRDefault="0008616F" w:rsidP="00221848">
            <w:pPr>
              <w:pStyle w:val="dNormParatext"/>
              <w:spacing w:before="120"/>
              <w:ind w:left="33"/>
            </w:pPr>
            <w:r w:rsidRPr="006456B2">
              <w:t>Non-planning decision taken by the Cabinet</w:t>
            </w:r>
          </w:p>
        </w:tc>
        <w:tc>
          <w:tcPr>
            <w:tcW w:w="2410" w:type="dxa"/>
            <w:shd w:val="clear" w:color="auto" w:fill="auto"/>
          </w:tcPr>
          <w:p w14:paraId="6F76300A" w14:textId="77777777" w:rsidR="0008616F" w:rsidRPr="006456B2" w:rsidRDefault="0008616F" w:rsidP="00221848">
            <w:pPr>
              <w:pStyle w:val="dNormParatext"/>
              <w:spacing w:before="120"/>
              <w:ind w:left="33"/>
            </w:pPr>
            <w:r w:rsidRPr="006456B2">
              <w:t>Any four councillors or the Chair of the Scrutiny Committee</w:t>
            </w:r>
          </w:p>
        </w:tc>
        <w:tc>
          <w:tcPr>
            <w:tcW w:w="2640" w:type="dxa"/>
            <w:shd w:val="clear" w:color="auto" w:fill="auto"/>
          </w:tcPr>
          <w:p w14:paraId="6F76300B" w14:textId="77777777" w:rsidR="0008616F" w:rsidRPr="006456B2" w:rsidRDefault="0008616F" w:rsidP="00221848">
            <w:pPr>
              <w:pStyle w:val="dNormParatext"/>
              <w:spacing w:before="120"/>
              <w:ind w:left="33"/>
            </w:pPr>
            <w:r w:rsidRPr="006456B2">
              <w:t xml:space="preserve">Within two working days of the draft minute of the decision being published </w:t>
            </w:r>
          </w:p>
        </w:tc>
      </w:tr>
      <w:tr w:rsidR="0008616F" w:rsidRPr="006456B2" w14:paraId="6F763010" w14:textId="77777777" w:rsidTr="00221848">
        <w:tc>
          <w:tcPr>
            <w:tcW w:w="2834" w:type="dxa"/>
            <w:shd w:val="clear" w:color="auto" w:fill="auto"/>
          </w:tcPr>
          <w:p w14:paraId="6F76300D" w14:textId="77777777" w:rsidR="0008616F" w:rsidRPr="006456B2" w:rsidRDefault="0008616F" w:rsidP="00221848">
            <w:pPr>
              <w:pStyle w:val="dNormParatext"/>
              <w:spacing w:before="120"/>
              <w:ind w:left="33"/>
            </w:pPr>
            <w:r w:rsidRPr="006456B2">
              <w:t>Key decision taken by an officer</w:t>
            </w:r>
          </w:p>
        </w:tc>
        <w:tc>
          <w:tcPr>
            <w:tcW w:w="2410" w:type="dxa"/>
            <w:shd w:val="clear" w:color="auto" w:fill="auto"/>
          </w:tcPr>
          <w:p w14:paraId="6F76300E" w14:textId="77777777" w:rsidR="0008616F" w:rsidRPr="006456B2" w:rsidRDefault="0008616F" w:rsidP="00221848">
            <w:pPr>
              <w:pStyle w:val="dNormParatext"/>
              <w:spacing w:before="120"/>
              <w:ind w:left="33"/>
            </w:pPr>
            <w:r w:rsidRPr="006456B2">
              <w:t>Any four councillors or the Chair of the Scrutiny Committee</w:t>
            </w:r>
          </w:p>
        </w:tc>
        <w:tc>
          <w:tcPr>
            <w:tcW w:w="2640" w:type="dxa"/>
            <w:shd w:val="clear" w:color="auto" w:fill="auto"/>
          </w:tcPr>
          <w:p w14:paraId="6F76300F" w14:textId="77777777" w:rsidR="0008616F" w:rsidRPr="006456B2" w:rsidRDefault="0008616F" w:rsidP="00221848">
            <w:pPr>
              <w:pStyle w:val="dNormParatext"/>
              <w:spacing w:before="120"/>
              <w:ind w:left="33"/>
            </w:pPr>
            <w:r w:rsidRPr="006456B2">
              <w:t>Within two working days of the notice of decision being published</w:t>
            </w:r>
          </w:p>
        </w:tc>
      </w:tr>
      <w:tr w:rsidR="0008616F" w:rsidRPr="006456B2" w14:paraId="6F763014" w14:textId="77777777" w:rsidTr="00221848">
        <w:tc>
          <w:tcPr>
            <w:tcW w:w="2834" w:type="dxa"/>
            <w:shd w:val="clear" w:color="auto" w:fill="auto"/>
          </w:tcPr>
          <w:p w14:paraId="6F763011" w14:textId="77777777" w:rsidR="0008616F" w:rsidRPr="006456B2" w:rsidRDefault="0008616F" w:rsidP="00221848">
            <w:pPr>
              <w:pStyle w:val="dNormParatext"/>
              <w:spacing w:before="120"/>
              <w:ind w:left="33"/>
            </w:pPr>
            <w:r w:rsidRPr="006456B2">
              <w:lastRenderedPageBreak/>
              <w:t>Ward member spend</w:t>
            </w:r>
          </w:p>
        </w:tc>
        <w:tc>
          <w:tcPr>
            <w:tcW w:w="2410" w:type="dxa"/>
            <w:shd w:val="clear" w:color="auto" w:fill="auto"/>
          </w:tcPr>
          <w:p w14:paraId="6F763012" w14:textId="77777777" w:rsidR="0008616F" w:rsidRPr="006456B2" w:rsidRDefault="0008616F" w:rsidP="00221848">
            <w:pPr>
              <w:pStyle w:val="dNormParatext"/>
              <w:spacing w:before="120"/>
              <w:ind w:left="33"/>
            </w:pPr>
            <w:r w:rsidRPr="006456B2">
              <w:t>Any four councillors or the Chair of the Scrutiny Committee</w:t>
            </w:r>
          </w:p>
        </w:tc>
        <w:tc>
          <w:tcPr>
            <w:tcW w:w="2640" w:type="dxa"/>
            <w:shd w:val="clear" w:color="auto" w:fill="auto"/>
          </w:tcPr>
          <w:p w14:paraId="6F763013" w14:textId="77777777" w:rsidR="0008616F" w:rsidRPr="006456B2" w:rsidRDefault="0008616F" w:rsidP="00221848">
            <w:pPr>
              <w:pStyle w:val="dNormParatext"/>
              <w:spacing w:before="120"/>
              <w:ind w:left="33"/>
            </w:pPr>
            <w:r w:rsidRPr="006456B2">
              <w:t>Within two working days of the notice of decision being published</w:t>
            </w:r>
          </w:p>
        </w:tc>
      </w:tr>
    </w:tbl>
    <w:p w14:paraId="6F763015" w14:textId="77777777" w:rsidR="0008616F" w:rsidRPr="006456B2" w:rsidRDefault="0008616F" w:rsidP="00D5068C">
      <w:pPr>
        <w:pStyle w:val="dNormParatext"/>
      </w:pPr>
    </w:p>
    <w:p w14:paraId="6F763016" w14:textId="77777777" w:rsidR="0008616F" w:rsidRPr="006456B2" w:rsidRDefault="0008616F" w:rsidP="00D5068C">
      <w:pPr>
        <w:pStyle w:val="dNormParatext"/>
      </w:pPr>
      <w:r w:rsidRPr="006456B2">
        <w:t>Co-opted committee members cannot call in decisions</w:t>
      </w:r>
      <w:r w:rsidR="00E838EC" w:rsidRPr="006456B2">
        <w:t>.</w:t>
      </w:r>
    </w:p>
    <w:p w14:paraId="6F763017" w14:textId="77777777" w:rsidR="0008616F" w:rsidRPr="006456B2" w:rsidRDefault="0008616F" w:rsidP="00D5068C">
      <w:pPr>
        <w:pStyle w:val="Heading2"/>
      </w:pPr>
      <w:bookmarkStart w:id="22" w:name="_Toc496107977"/>
      <w:bookmarkStart w:id="23" w:name="_Toc496108652"/>
      <w:bookmarkStart w:id="24" w:name="_Toc529972041"/>
      <w:bookmarkStart w:id="25" w:name="_Toc45544920"/>
      <w:r w:rsidRPr="006456B2">
        <w:t>How are decisions called in?</w:t>
      </w:r>
      <w:bookmarkEnd w:id="22"/>
      <w:bookmarkEnd w:id="23"/>
      <w:bookmarkEnd w:id="24"/>
      <w:bookmarkEnd w:id="25"/>
    </w:p>
    <w:p w14:paraId="6F763018" w14:textId="77777777" w:rsidR="00E838EC" w:rsidRPr="006456B2" w:rsidRDefault="0008616F" w:rsidP="00D5068C">
      <w:pPr>
        <w:pStyle w:val="dNormParatext"/>
      </w:pPr>
      <w:r w:rsidRPr="006456B2">
        <w:t xml:space="preserve">Decisions are called in by sending notice of call-in to the Head of Law and Governance or emailing it to </w:t>
      </w:r>
      <w:r w:rsidR="00E838EC" w:rsidRPr="006456B2">
        <w:t>the internal call-in mailbox.</w:t>
      </w:r>
      <w:r w:rsidR="004B7F47">
        <w:t xml:space="preserve"> Councillors must confirm their support to a call-in individually for it to be valid; one email with the other individuals copied in is not sufficient.</w:t>
      </w:r>
    </w:p>
    <w:p w14:paraId="6F763019" w14:textId="77777777" w:rsidR="0008616F" w:rsidRPr="006456B2" w:rsidRDefault="004B7F47" w:rsidP="00D5068C">
      <w:pPr>
        <w:pStyle w:val="dNormParatext"/>
      </w:pPr>
      <w:r>
        <w:t>All planning call-</w:t>
      </w:r>
      <w:r w:rsidR="00501341" w:rsidRPr="008F4367">
        <w:t>ins must be supported by relevant material planning considerations.</w:t>
      </w:r>
      <w:r w:rsidR="00000F6A" w:rsidRPr="006456B2">
        <w:t xml:space="preserve"> </w:t>
      </w:r>
      <w:r w:rsidR="0008616F" w:rsidRPr="006456B2">
        <w:t>If an executive decision is being called in because it is believed to be outside the budget and policy framework, the notice of call-in must say so.</w:t>
      </w:r>
    </w:p>
    <w:p w14:paraId="6F76301A" w14:textId="77777777" w:rsidR="0008616F" w:rsidRPr="006456B2" w:rsidRDefault="0008616F" w:rsidP="00D5068C">
      <w:pPr>
        <w:pStyle w:val="dNormParatext"/>
      </w:pPr>
      <w:r w:rsidRPr="006456B2">
        <w:t>When a decision is called in, the Head of Law and Governance will tell the officer or ward member or the chair of the body that took the decision, or in the case of call-in of a planning decision to be taken by the Head of Planning Services, the Head of Planning Services</w:t>
      </w:r>
      <w:r w:rsidR="00E838EC" w:rsidRPr="006456B2">
        <w:t>.</w:t>
      </w:r>
    </w:p>
    <w:p w14:paraId="6F76301B" w14:textId="77777777" w:rsidR="0008616F" w:rsidRPr="006456B2" w:rsidRDefault="0008616F" w:rsidP="00D5068C">
      <w:pPr>
        <w:pStyle w:val="Heading2"/>
      </w:pPr>
      <w:bookmarkStart w:id="26" w:name="_Toc496107978"/>
      <w:bookmarkStart w:id="27" w:name="_Toc496108653"/>
      <w:bookmarkStart w:id="28" w:name="_Toc496110546"/>
      <w:bookmarkStart w:id="29" w:name="_Toc529972042"/>
      <w:bookmarkStart w:id="30" w:name="_Toc45544921"/>
      <w:r w:rsidRPr="006456B2">
        <w:t>Where are decisions called in to?</w:t>
      </w:r>
      <w:bookmarkEnd w:id="26"/>
      <w:bookmarkEnd w:id="27"/>
      <w:bookmarkEnd w:id="28"/>
      <w:bookmarkEnd w:id="29"/>
      <w:bookmarkEnd w:id="30"/>
    </w:p>
    <w:p w14:paraId="6F76301C" w14:textId="77777777" w:rsidR="0008616F" w:rsidRPr="006456B2" w:rsidRDefault="0008616F" w:rsidP="00D5068C">
      <w:pPr>
        <w:pStyle w:val="dLetterLettPara"/>
        <w:numPr>
          <w:ilvl w:val="0"/>
          <w:numId w:val="36"/>
        </w:numPr>
        <w:ind w:left="993" w:hanging="426"/>
      </w:pPr>
      <w:r w:rsidRPr="006456B2">
        <w:t>The table shows where decisions are called in to</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3402"/>
      </w:tblGrid>
      <w:tr w:rsidR="0008616F" w:rsidRPr="006456B2" w14:paraId="6F76301F" w14:textId="77777777" w:rsidTr="00C868C1">
        <w:tc>
          <w:tcPr>
            <w:tcW w:w="3969" w:type="dxa"/>
            <w:shd w:val="clear" w:color="auto" w:fill="auto"/>
          </w:tcPr>
          <w:p w14:paraId="6F76301D" w14:textId="77777777" w:rsidR="0008616F" w:rsidRPr="006456B2" w:rsidRDefault="0008616F" w:rsidP="00000F6A">
            <w:pPr>
              <w:pStyle w:val="dNormParatext"/>
              <w:spacing w:before="120"/>
              <w:ind w:left="33"/>
              <w:rPr>
                <w:b/>
              </w:rPr>
            </w:pPr>
            <w:r w:rsidRPr="006456B2">
              <w:rPr>
                <w:b/>
              </w:rPr>
              <w:t>Decision</w:t>
            </w:r>
          </w:p>
        </w:tc>
        <w:tc>
          <w:tcPr>
            <w:tcW w:w="3402" w:type="dxa"/>
            <w:shd w:val="clear" w:color="auto" w:fill="auto"/>
          </w:tcPr>
          <w:p w14:paraId="6F76301E" w14:textId="77777777" w:rsidR="0008616F" w:rsidRPr="006456B2" w:rsidRDefault="0008616F" w:rsidP="00000F6A">
            <w:pPr>
              <w:pStyle w:val="dNormParatext"/>
              <w:spacing w:before="120"/>
              <w:ind w:left="33"/>
              <w:rPr>
                <w:b/>
              </w:rPr>
            </w:pPr>
            <w:r w:rsidRPr="006456B2">
              <w:rPr>
                <w:b/>
              </w:rPr>
              <w:t>Called in to</w:t>
            </w:r>
          </w:p>
        </w:tc>
      </w:tr>
      <w:tr w:rsidR="0008616F" w:rsidRPr="006456B2" w14:paraId="6F763022" w14:textId="77777777" w:rsidTr="00C868C1">
        <w:tc>
          <w:tcPr>
            <w:tcW w:w="3969" w:type="dxa"/>
            <w:shd w:val="clear" w:color="auto" w:fill="auto"/>
          </w:tcPr>
          <w:p w14:paraId="6F763020" w14:textId="77777777" w:rsidR="0008616F" w:rsidRPr="006456B2" w:rsidRDefault="0008616F" w:rsidP="00000F6A">
            <w:pPr>
              <w:pStyle w:val="dNormParatext"/>
              <w:spacing w:before="120"/>
              <w:ind w:left="33"/>
            </w:pPr>
            <w:r w:rsidRPr="006456B2">
              <w:t xml:space="preserve">Decisions on planning applications to be taken by the Head of Planning </w:t>
            </w:r>
            <w:r w:rsidR="00E838EC" w:rsidRPr="006456B2">
              <w:t>Services</w:t>
            </w:r>
          </w:p>
        </w:tc>
        <w:tc>
          <w:tcPr>
            <w:tcW w:w="3402" w:type="dxa"/>
            <w:shd w:val="clear" w:color="auto" w:fill="auto"/>
          </w:tcPr>
          <w:p w14:paraId="6F763021" w14:textId="77777777" w:rsidR="0008616F" w:rsidRPr="006456B2" w:rsidRDefault="00D2126B" w:rsidP="00D2126B">
            <w:pPr>
              <w:pStyle w:val="dNormParatext"/>
              <w:spacing w:before="120"/>
              <w:ind w:left="33"/>
            </w:pPr>
            <w:r w:rsidRPr="008F4367">
              <w:t>Oxford City</w:t>
            </w:r>
            <w:r>
              <w:t xml:space="preserve"> </w:t>
            </w:r>
            <w:r w:rsidR="008F4367">
              <w:t>Planning C</w:t>
            </w:r>
            <w:r w:rsidRPr="006456B2">
              <w:t xml:space="preserve">ommittee </w:t>
            </w:r>
          </w:p>
        </w:tc>
      </w:tr>
      <w:tr w:rsidR="0008616F" w:rsidRPr="006456B2" w14:paraId="6F763025" w14:textId="77777777" w:rsidTr="00C868C1">
        <w:tc>
          <w:tcPr>
            <w:tcW w:w="3969" w:type="dxa"/>
            <w:shd w:val="clear" w:color="auto" w:fill="auto"/>
          </w:tcPr>
          <w:p w14:paraId="6F763023" w14:textId="77777777" w:rsidR="0008616F" w:rsidRPr="006456B2" w:rsidRDefault="0008616F" w:rsidP="008F4367">
            <w:pPr>
              <w:pStyle w:val="dNormParatext"/>
              <w:spacing w:before="120"/>
              <w:ind w:left="33"/>
            </w:pPr>
            <w:r w:rsidRPr="006456B2">
              <w:t xml:space="preserve">Planning decisions taken by </w:t>
            </w:r>
            <w:r w:rsidR="00D2126B" w:rsidRPr="008F4367">
              <w:t>Oxford City</w:t>
            </w:r>
            <w:r w:rsidR="00D2126B">
              <w:t xml:space="preserve"> </w:t>
            </w:r>
            <w:r w:rsidR="008F4367">
              <w:t>Planning C</w:t>
            </w:r>
            <w:r w:rsidR="00D2126B" w:rsidRPr="006456B2">
              <w:t>ommittee</w:t>
            </w:r>
          </w:p>
        </w:tc>
        <w:tc>
          <w:tcPr>
            <w:tcW w:w="3402" w:type="dxa"/>
            <w:shd w:val="clear" w:color="auto" w:fill="auto"/>
          </w:tcPr>
          <w:p w14:paraId="6F763024" w14:textId="77777777" w:rsidR="0008616F" w:rsidRPr="006456B2" w:rsidRDefault="0008616F" w:rsidP="00000F6A">
            <w:pPr>
              <w:pStyle w:val="dNormParatext"/>
              <w:spacing w:before="120"/>
              <w:ind w:left="33"/>
            </w:pPr>
            <w:r w:rsidRPr="006456B2">
              <w:t>Planning Review Committee</w:t>
            </w:r>
          </w:p>
        </w:tc>
      </w:tr>
      <w:tr w:rsidR="0008616F" w:rsidRPr="006456B2" w14:paraId="6F763028" w14:textId="77777777" w:rsidTr="00C868C1">
        <w:tc>
          <w:tcPr>
            <w:tcW w:w="3969" w:type="dxa"/>
            <w:shd w:val="clear" w:color="auto" w:fill="auto"/>
          </w:tcPr>
          <w:p w14:paraId="6F763026" w14:textId="77777777" w:rsidR="0008616F" w:rsidRPr="006456B2" w:rsidRDefault="0008616F" w:rsidP="00000F6A">
            <w:pPr>
              <w:pStyle w:val="dNormParatext"/>
              <w:spacing w:before="120"/>
              <w:ind w:left="33"/>
            </w:pPr>
            <w:r w:rsidRPr="006456B2">
              <w:t>Non-planning decision or ward member spend</w:t>
            </w:r>
          </w:p>
        </w:tc>
        <w:tc>
          <w:tcPr>
            <w:tcW w:w="3402" w:type="dxa"/>
            <w:shd w:val="clear" w:color="auto" w:fill="auto"/>
          </w:tcPr>
          <w:p w14:paraId="6F763027" w14:textId="77777777" w:rsidR="0008616F" w:rsidRPr="006456B2" w:rsidRDefault="0008616F" w:rsidP="00000F6A">
            <w:pPr>
              <w:pStyle w:val="dNormParatext"/>
              <w:spacing w:before="120"/>
              <w:ind w:left="33"/>
            </w:pPr>
            <w:r w:rsidRPr="006456B2">
              <w:t>Scrutiny Committee</w:t>
            </w:r>
          </w:p>
        </w:tc>
      </w:tr>
    </w:tbl>
    <w:p w14:paraId="6F763029" w14:textId="77777777" w:rsidR="0008616F" w:rsidRPr="006456B2" w:rsidRDefault="0008616F" w:rsidP="00221848">
      <w:pPr>
        <w:pStyle w:val="dLetterListPara"/>
      </w:pPr>
    </w:p>
    <w:p w14:paraId="6F76302A" w14:textId="77777777" w:rsidR="0008616F" w:rsidRPr="006456B2" w:rsidRDefault="00D5068C" w:rsidP="00D5068C">
      <w:pPr>
        <w:pStyle w:val="dLetterLettPara"/>
      </w:pPr>
      <w:r w:rsidRPr="006456B2">
        <w:t>A special meeting can be called to consider a decision that has been called in if the Head of Law and Governance believes it is not in the Council’s interest to wait until the next ordinary meeting.</w:t>
      </w:r>
    </w:p>
    <w:p w14:paraId="6F76302B" w14:textId="77777777" w:rsidR="0008616F" w:rsidRPr="006456B2" w:rsidRDefault="0008616F" w:rsidP="00D5068C">
      <w:pPr>
        <w:pStyle w:val="Heading2"/>
      </w:pPr>
      <w:bookmarkStart w:id="31" w:name="_Toc496107979"/>
      <w:bookmarkStart w:id="32" w:name="_Toc496108654"/>
      <w:bookmarkStart w:id="33" w:name="_Toc529972043"/>
      <w:bookmarkStart w:id="34" w:name="_Toc45544922"/>
      <w:r w:rsidRPr="006456B2">
        <w:t>What happens when a planning decision is called in?</w:t>
      </w:r>
      <w:bookmarkEnd w:id="31"/>
      <w:bookmarkEnd w:id="32"/>
      <w:bookmarkEnd w:id="33"/>
      <w:bookmarkEnd w:id="34"/>
    </w:p>
    <w:p w14:paraId="6F76302C" w14:textId="77777777" w:rsidR="0008616F" w:rsidRPr="006456B2" w:rsidRDefault="0008616F" w:rsidP="00D5068C">
      <w:pPr>
        <w:pStyle w:val="dNormParatext"/>
      </w:pPr>
      <w:r w:rsidRPr="006456B2">
        <w:t xml:space="preserve">The </w:t>
      </w:r>
      <w:r w:rsidR="00D2126B" w:rsidRPr="008F4367">
        <w:t>Oxford City</w:t>
      </w:r>
      <w:r w:rsidR="00D2126B">
        <w:t xml:space="preserve"> </w:t>
      </w:r>
      <w:r w:rsidR="008F4367">
        <w:t>Planning C</w:t>
      </w:r>
      <w:r w:rsidR="00D2126B" w:rsidRPr="006456B2">
        <w:t xml:space="preserve">ommittee </w:t>
      </w:r>
      <w:r w:rsidRPr="006456B2">
        <w:t>or Planning Review Committee will decide the planning application.</w:t>
      </w:r>
    </w:p>
    <w:p w14:paraId="6F76302D" w14:textId="77777777" w:rsidR="0008616F" w:rsidRPr="006456B2" w:rsidRDefault="0008616F" w:rsidP="00D5068C">
      <w:pPr>
        <w:pStyle w:val="Heading2"/>
      </w:pPr>
      <w:bookmarkStart w:id="35" w:name="_Toc496107980"/>
      <w:bookmarkStart w:id="36" w:name="_Toc496108655"/>
      <w:bookmarkStart w:id="37" w:name="_Toc496110547"/>
      <w:bookmarkStart w:id="38" w:name="_Toc529972044"/>
      <w:bookmarkStart w:id="39" w:name="_Toc45544923"/>
      <w:r w:rsidRPr="006456B2">
        <w:t>What happens when a decision is called in to the Scrutiny Committee?</w:t>
      </w:r>
      <w:bookmarkEnd w:id="35"/>
      <w:bookmarkEnd w:id="36"/>
      <w:bookmarkEnd w:id="37"/>
      <w:bookmarkEnd w:id="38"/>
      <w:bookmarkEnd w:id="39"/>
    </w:p>
    <w:p w14:paraId="6F76302E" w14:textId="77777777" w:rsidR="0008616F" w:rsidRPr="006456B2" w:rsidRDefault="0008616F" w:rsidP="00D5068C">
      <w:pPr>
        <w:pStyle w:val="dNormParatext"/>
      </w:pPr>
      <w:r w:rsidRPr="006456B2">
        <w:t>The Scrutiny Committee can decide to:</w:t>
      </w:r>
    </w:p>
    <w:p w14:paraId="6F76302F" w14:textId="77777777" w:rsidR="0008616F" w:rsidRPr="006456B2" w:rsidRDefault="0008616F" w:rsidP="00D5068C">
      <w:pPr>
        <w:pStyle w:val="dBulletpoints"/>
      </w:pPr>
      <w:r w:rsidRPr="006456B2">
        <w:lastRenderedPageBreak/>
        <w:t>support the decision, which can then be acted on immediately, or</w:t>
      </w:r>
    </w:p>
    <w:p w14:paraId="6F763030" w14:textId="77777777" w:rsidR="0008616F" w:rsidRPr="006456B2" w:rsidRDefault="0008616F" w:rsidP="00D5068C">
      <w:pPr>
        <w:pStyle w:val="dBulletpoints"/>
      </w:pPr>
      <w:r w:rsidRPr="006456B2">
        <w:t>send the decision back with its comments to the Cabinet or ward member or officer, who will then take a final decision, or</w:t>
      </w:r>
    </w:p>
    <w:p w14:paraId="6F763031" w14:textId="77777777" w:rsidR="0008616F" w:rsidRPr="006456B2" w:rsidRDefault="0008616F" w:rsidP="00D5068C">
      <w:pPr>
        <w:pStyle w:val="dBulletpoints"/>
      </w:pPr>
      <w:r w:rsidRPr="006456B2">
        <w:t>send comments to Council on any decision that recommends changing the budget or policy framework.</w:t>
      </w:r>
    </w:p>
    <w:p w14:paraId="6F763032" w14:textId="77777777" w:rsidR="0008616F" w:rsidRPr="006456B2" w:rsidRDefault="0008616F" w:rsidP="00D5068C">
      <w:pPr>
        <w:pStyle w:val="Heading2"/>
      </w:pPr>
      <w:bookmarkStart w:id="40" w:name="_Toc496107981"/>
      <w:bookmarkStart w:id="41" w:name="_Toc496108656"/>
      <w:bookmarkStart w:id="42" w:name="_Toc529972045"/>
      <w:bookmarkStart w:id="43" w:name="_Toc45544924"/>
      <w:r w:rsidRPr="006456B2">
        <w:t>Decision believed to be outside the budget or policy framework</w:t>
      </w:r>
      <w:bookmarkEnd w:id="40"/>
      <w:bookmarkEnd w:id="41"/>
      <w:bookmarkEnd w:id="42"/>
      <w:bookmarkEnd w:id="43"/>
    </w:p>
    <w:p w14:paraId="6F763033" w14:textId="77777777" w:rsidR="0008616F" w:rsidRPr="006456B2" w:rsidRDefault="0008616F" w:rsidP="00D5068C">
      <w:pPr>
        <w:pStyle w:val="dLetterLettPara"/>
        <w:numPr>
          <w:ilvl w:val="0"/>
          <w:numId w:val="37"/>
        </w:numPr>
        <w:ind w:left="993" w:hanging="426"/>
      </w:pPr>
      <w:r w:rsidRPr="006456B2">
        <w:t>The Monitoring Officer or Chief Finance Officer will say whether the decision is outside the budget or policy framework.</w:t>
      </w:r>
    </w:p>
    <w:p w14:paraId="6F763034" w14:textId="77777777" w:rsidR="0008616F" w:rsidRPr="006456B2" w:rsidRDefault="0008616F" w:rsidP="00D5068C">
      <w:pPr>
        <w:pStyle w:val="dLetterLettPara"/>
      </w:pPr>
      <w:r w:rsidRPr="006456B2">
        <w:t>If the decision is not outside the budget or policy framework, the Scrutiny Committee can decide to:</w:t>
      </w:r>
    </w:p>
    <w:p w14:paraId="6F763035" w14:textId="77777777" w:rsidR="0008616F" w:rsidRPr="006456B2" w:rsidRDefault="0008616F" w:rsidP="00D5068C">
      <w:pPr>
        <w:pStyle w:val="dBulletpoints"/>
      </w:pPr>
      <w:r w:rsidRPr="006456B2">
        <w:t>support the decision, which can then be acted on immediately, or</w:t>
      </w:r>
    </w:p>
    <w:p w14:paraId="6F763036" w14:textId="77777777" w:rsidR="0008616F" w:rsidRPr="006456B2" w:rsidRDefault="0008616F" w:rsidP="00D5068C">
      <w:pPr>
        <w:pStyle w:val="dBulletpoints"/>
      </w:pPr>
      <w:r w:rsidRPr="006456B2">
        <w:t>send the decision back with its comments to the Cabinet or ward member or officer, who will then take a final decision.</w:t>
      </w:r>
    </w:p>
    <w:p w14:paraId="6F763037" w14:textId="77777777" w:rsidR="0008616F" w:rsidRPr="006456B2" w:rsidRDefault="0008616F" w:rsidP="00D5068C">
      <w:pPr>
        <w:pStyle w:val="dLetterLettPara"/>
      </w:pPr>
      <w:r w:rsidRPr="006456B2">
        <w:t>If the decision is outside the budget or policy framework, it will go as a recommendation to Council, along with any comments from the Scrutiny Committee.</w:t>
      </w:r>
      <w:r w:rsidR="00000F6A" w:rsidRPr="006456B2">
        <w:t xml:space="preserve"> </w:t>
      </w:r>
      <w:r w:rsidRPr="006456B2">
        <w:t>Council can then:</w:t>
      </w:r>
    </w:p>
    <w:p w14:paraId="6F763038" w14:textId="77777777" w:rsidR="0008616F" w:rsidRPr="006456B2" w:rsidRDefault="0008616F" w:rsidP="00D5068C">
      <w:pPr>
        <w:pStyle w:val="dBulletpoints"/>
      </w:pPr>
      <w:r w:rsidRPr="006456B2">
        <w:t>make the Cabinet reconsider the decision, or</w:t>
      </w:r>
    </w:p>
    <w:p w14:paraId="6F763039" w14:textId="77777777" w:rsidR="0008616F" w:rsidRPr="006456B2" w:rsidRDefault="0008616F" w:rsidP="00D5068C">
      <w:pPr>
        <w:pStyle w:val="dBulletpoints"/>
      </w:pPr>
      <w:r w:rsidRPr="006456B2">
        <w:t>change the budget or policy framework so that the decision is within it – the decision can then be acted on immediately.</w:t>
      </w:r>
    </w:p>
    <w:p w14:paraId="6F76303A" w14:textId="77777777" w:rsidR="0008616F" w:rsidRPr="006456B2" w:rsidRDefault="0008616F" w:rsidP="00D5068C">
      <w:pPr>
        <w:pStyle w:val="Heading2"/>
      </w:pPr>
      <w:bookmarkStart w:id="44" w:name="_Toc496107982"/>
      <w:bookmarkStart w:id="45" w:name="_Toc496108657"/>
      <w:bookmarkStart w:id="46" w:name="_Toc529972046"/>
      <w:bookmarkStart w:id="47" w:name="_Toc45544925"/>
      <w:r w:rsidRPr="006456B2">
        <w:t>Urgent decisions</w:t>
      </w:r>
      <w:bookmarkEnd w:id="44"/>
      <w:bookmarkEnd w:id="45"/>
      <w:bookmarkEnd w:id="46"/>
      <w:bookmarkEnd w:id="47"/>
    </w:p>
    <w:p w14:paraId="6F76303B" w14:textId="77777777" w:rsidR="0008616F" w:rsidRPr="006456B2" w:rsidRDefault="0008616F" w:rsidP="00D5068C">
      <w:pPr>
        <w:pStyle w:val="dNormParatext"/>
      </w:pPr>
      <w:r w:rsidRPr="006456B2">
        <w:t>A decision to be taken cannot be called in if the Chair of the Scrutiny Committee, upon being consulted, agrees that:</w:t>
      </w:r>
    </w:p>
    <w:p w14:paraId="6F76303C" w14:textId="77777777" w:rsidR="0008616F" w:rsidRPr="006456B2" w:rsidRDefault="0008616F" w:rsidP="00D5068C">
      <w:pPr>
        <w:pStyle w:val="dBulletpoints"/>
      </w:pPr>
      <w:r w:rsidRPr="006456B2">
        <w:t>the decision to be taken is both urgent and reasonable and</w:t>
      </w:r>
    </w:p>
    <w:p w14:paraId="6F76303D" w14:textId="77777777" w:rsidR="0008616F" w:rsidRPr="006456B2" w:rsidRDefault="0008616F" w:rsidP="00D5068C">
      <w:pPr>
        <w:pStyle w:val="dBulletpoints"/>
      </w:pPr>
      <w:r w:rsidRPr="006456B2">
        <w:t>the delay caused by the call-in process would not be in the interests of the Council or the public.</w:t>
      </w:r>
    </w:p>
    <w:p w14:paraId="6F76303E" w14:textId="77777777" w:rsidR="0008616F" w:rsidRPr="006456B2" w:rsidRDefault="0008616F" w:rsidP="00D5068C">
      <w:pPr>
        <w:pStyle w:val="dNormParatext"/>
      </w:pPr>
      <w:r w:rsidRPr="006456B2">
        <w:t>If the Chair of the Scrutiny Committee is not available, the Lord Mayor must agree that the decision to be taken is urgent and reasonable.</w:t>
      </w:r>
      <w:r w:rsidR="00000F6A" w:rsidRPr="006456B2">
        <w:t xml:space="preserve"> </w:t>
      </w:r>
      <w:r w:rsidRPr="006456B2">
        <w:t>If the Lord Mayor is not available, the Deputy Lord Mayor, Chief Executive or Monitoring Officer must agree.</w:t>
      </w:r>
    </w:p>
    <w:p w14:paraId="6F76303F" w14:textId="77777777" w:rsidR="0008616F" w:rsidRPr="006456B2" w:rsidRDefault="0008616F" w:rsidP="00D5068C">
      <w:pPr>
        <w:pStyle w:val="dNormParatext"/>
      </w:pPr>
      <w:r w:rsidRPr="006456B2">
        <w:t>D</w:t>
      </w:r>
      <w:r w:rsidR="00D5068C" w:rsidRPr="006456B2">
        <w:t>e</w:t>
      </w:r>
      <w:r w:rsidRPr="006456B2">
        <w:t>cisions to which this rule applies must be identified on the notice of decision.</w:t>
      </w:r>
    </w:p>
    <w:p w14:paraId="6F763040" w14:textId="77777777" w:rsidR="0008616F" w:rsidRPr="006456B2" w:rsidRDefault="0008616F" w:rsidP="00D5068C">
      <w:pPr>
        <w:pStyle w:val="dNormParatext"/>
      </w:pPr>
      <w:r w:rsidRPr="006456B2">
        <w:t>Decisions to which this rule applies must be reported to the next ordinary Council meeting with the reasons why they were urgent.</w:t>
      </w:r>
      <w:r w:rsidR="00000F6A" w:rsidRPr="006456B2">
        <w:t xml:space="preserve"> </w:t>
      </w:r>
      <w:r w:rsidRPr="006456B2">
        <w:t>If the next meeting is within seven days of the decision being taken the decision taker will report to the next meeting after that.</w:t>
      </w:r>
    </w:p>
    <w:bookmarkEnd w:id="6"/>
    <w:p w14:paraId="6F763041" w14:textId="77777777" w:rsidR="00044F0D" w:rsidRPr="002F0F1E" w:rsidRDefault="00044F0D" w:rsidP="00D5068C">
      <w:pPr>
        <w:pStyle w:val="dNormParatext"/>
        <w:rPr>
          <w:strike/>
        </w:rPr>
      </w:pPr>
    </w:p>
    <w:sectPr w:rsidR="00044F0D" w:rsidRPr="002F0F1E"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3044" w14:textId="77777777" w:rsidR="00BB4BAC" w:rsidRDefault="00BB4BAC" w:rsidP="004A6D2F">
      <w:r>
        <w:separator/>
      </w:r>
    </w:p>
  </w:endnote>
  <w:endnote w:type="continuationSeparator" w:id="0">
    <w:p w14:paraId="6F763045"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047" w14:textId="77777777" w:rsidR="00641712" w:rsidRDefault="00641712" w:rsidP="004A6D2F">
    <w:r>
      <w:t>Do not use a footer or page numbers.</w:t>
    </w:r>
  </w:p>
  <w:p w14:paraId="6F763048" w14:textId="77777777" w:rsidR="00641712" w:rsidRDefault="00641712" w:rsidP="004A6D2F"/>
  <w:p w14:paraId="6F763049"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04A" w14:textId="77777777" w:rsidR="00175754" w:rsidRPr="00AE42D6" w:rsidRDefault="00175754" w:rsidP="00C868C1">
    <w:pPr>
      <w:pStyle w:val="Footer"/>
    </w:pPr>
    <w:r w:rsidRPr="00AE42D6">
      <w:t xml:space="preserve">Part </w:t>
    </w:r>
    <w:r w:rsidR="0008616F">
      <w:t>17 Call in Procedures</w:t>
    </w:r>
  </w:p>
  <w:p w14:paraId="6F76304B" w14:textId="6B28973C" w:rsidR="00175754" w:rsidRPr="00AE42D6" w:rsidRDefault="002F0F1E" w:rsidP="00C868C1">
    <w:pPr>
      <w:pStyle w:val="Footer"/>
      <w:jc w:val="right"/>
    </w:pPr>
    <w:r w:rsidRPr="002F0F1E">
      <w:rPr>
        <w:color w:val="FF0000"/>
      </w:rPr>
      <w:t xml:space="preserve"> </w:t>
    </w:r>
    <w:r w:rsidR="004E5016">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04D" w14:textId="77777777" w:rsidR="00175754" w:rsidRDefault="00175754">
    <w:r>
      <w:t>July 2019</w:t>
    </w:r>
  </w:p>
  <w:p w14:paraId="6F76304E"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3042" w14:textId="77777777" w:rsidR="00BB4BAC" w:rsidRDefault="00BB4BAC" w:rsidP="004A6D2F">
      <w:r>
        <w:separator/>
      </w:r>
    </w:p>
  </w:footnote>
  <w:footnote w:type="continuationSeparator" w:id="0">
    <w:p w14:paraId="6F763043"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046" w14:textId="77777777" w:rsidR="00175754" w:rsidRPr="00C868C1" w:rsidRDefault="00175754" w:rsidP="00C868C1">
    <w:pPr>
      <w:pStyle w:val="Header"/>
    </w:pPr>
    <w:r w:rsidRPr="00C868C1">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04C"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1387C1E"/>
    <w:multiLevelType w:val="hybridMultilevel"/>
    <w:tmpl w:val="E312B2B8"/>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D1090"/>
    <w:multiLevelType w:val="hybridMultilevel"/>
    <w:tmpl w:val="3886CDD2"/>
    <w:lvl w:ilvl="0" w:tplc="87D68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BE502B4"/>
    <w:multiLevelType w:val="hybridMultilevel"/>
    <w:tmpl w:val="B0EE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D4D40"/>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F703B"/>
    <w:multiLevelType w:val="hybridMultilevel"/>
    <w:tmpl w:val="630058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1D6846C8"/>
    <w:multiLevelType w:val="multilevel"/>
    <w:tmpl w:val="F4CAB3C4"/>
    <w:lvl w:ilvl="0">
      <w:start w:val="1"/>
      <w:numFmt w:val="decimal"/>
      <w:pStyle w:val="Heading2"/>
      <w:lvlText w:val="17.%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980FC5"/>
    <w:multiLevelType w:val="hybridMultilevel"/>
    <w:tmpl w:val="5B36B17E"/>
    <w:lvl w:ilvl="0" w:tplc="AFA25F0A">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690078"/>
    <w:multiLevelType w:val="hybridMultilevel"/>
    <w:tmpl w:val="3C90C3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235B0E89"/>
    <w:multiLevelType w:val="hybridMultilevel"/>
    <w:tmpl w:val="68E0F88C"/>
    <w:lvl w:ilvl="0" w:tplc="C0E82424">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3" w15:restartNumberingAfterBreak="0">
    <w:nsid w:val="350F357F"/>
    <w:multiLevelType w:val="hybridMultilevel"/>
    <w:tmpl w:val="03844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6895D7C"/>
    <w:multiLevelType w:val="hybridMultilevel"/>
    <w:tmpl w:val="BFC4658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7340E6B"/>
    <w:multiLevelType w:val="hybridMultilevel"/>
    <w:tmpl w:val="BC90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26F4B"/>
    <w:multiLevelType w:val="hybridMultilevel"/>
    <w:tmpl w:val="CE401A1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5201F22"/>
    <w:multiLevelType w:val="hybridMultilevel"/>
    <w:tmpl w:val="02C0FF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6E1664B"/>
    <w:multiLevelType w:val="hybridMultilevel"/>
    <w:tmpl w:val="266ED17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C521E2F"/>
    <w:multiLevelType w:val="hybridMultilevel"/>
    <w:tmpl w:val="58C868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DF62909"/>
    <w:multiLevelType w:val="hybridMultilevel"/>
    <w:tmpl w:val="12605874"/>
    <w:lvl w:ilvl="0" w:tplc="B08EC996">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1" w15:restartNumberingAfterBreak="0">
    <w:nsid w:val="4FC56F4A"/>
    <w:multiLevelType w:val="hybridMultilevel"/>
    <w:tmpl w:val="68B6A6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4075760"/>
    <w:multiLevelType w:val="hybridMultilevel"/>
    <w:tmpl w:val="7068DBC8"/>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23" w15:restartNumberingAfterBreak="0">
    <w:nsid w:val="547C6C31"/>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FA5356"/>
    <w:multiLevelType w:val="hybridMultilevel"/>
    <w:tmpl w:val="F4D67A4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60556012"/>
    <w:multiLevelType w:val="hybridMultilevel"/>
    <w:tmpl w:val="B6A692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05A34D9"/>
    <w:multiLevelType w:val="hybridMultilevel"/>
    <w:tmpl w:val="3D6A55B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15:restartNumberingAfterBreak="0">
    <w:nsid w:val="6A2144DC"/>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AA7D9B"/>
    <w:multiLevelType w:val="hybridMultilevel"/>
    <w:tmpl w:val="E214A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4CD1D3D"/>
    <w:multiLevelType w:val="hybridMultilevel"/>
    <w:tmpl w:val="5E3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00CEE"/>
    <w:multiLevelType w:val="hybridMultilevel"/>
    <w:tmpl w:val="C3CE4AEE"/>
    <w:lvl w:ilvl="0" w:tplc="FFDC42B4">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num w:numId="1" w16cid:durableId="782387264">
    <w:abstractNumId w:val="27"/>
  </w:num>
  <w:num w:numId="2" w16cid:durableId="756482700">
    <w:abstractNumId w:val="23"/>
  </w:num>
  <w:num w:numId="3" w16cid:durableId="1132359322">
    <w:abstractNumId w:val="10"/>
  </w:num>
  <w:num w:numId="4" w16cid:durableId="1871066607">
    <w:abstractNumId w:val="7"/>
  </w:num>
  <w:num w:numId="5" w16cid:durableId="575866826">
    <w:abstractNumId w:val="28"/>
  </w:num>
  <w:num w:numId="6" w16cid:durableId="626551720">
    <w:abstractNumId w:val="31"/>
  </w:num>
  <w:num w:numId="7" w16cid:durableId="2133206866">
    <w:abstractNumId w:val="20"/>
  </w:num>
  <w:num w:numId="8" w16cid:durableId="1778089818">
    <w:abstractNumId w:val="1"/>
  </w:num>
  <w:num w:numId="9" w16cid:durableId="1154225652">
    <w:abstractNumId w:val="4"/>
  </w:num>
  <w:num w:numId="10" w16cid:durableId="1192644557">
    <w:abstractNumId w:val="13"/>
  </w:num>
  <w:num w:numId="11" w16cid:durableId="105078605">
    <w:abstractNumId w:val="30"/>
  </w:num>
  <w:num w:numId="12" w16cid:durableId="1354964981">
    <w:abstractNumId w:val="25"/>
  </w:num>
  <w:num w:numId="13" w16cid:durableId="1623464406">
    <w:abstractNumId w:val="24"/>
  </w:num>
  <w:num w:numId="14" w16cid:durableId="1437748371">
    <w:abstractNumId w:val="26"/>
  </w:num>
  <w:num w:numId="15" w16cid:durableId="2083914687">
    <w:abstractNumId w:val="29"/>
  </w:num>
  <w:num w:numId="16" w16cid:durableId="1461874172">
    <w:abstractNumId w:val="14"/>
  </w:num>
  <w:num w:numId="17" w16cid:durableId="802888717">
    <w:abstractNumId w:val="16"/>
  </w:num>
  <w:num w:numId="18" w16cid:durableId="776414686">
    <w:abstractNumId w:val="11"/>
  </w:num>
  <w:num w:numId="19" w16cid:durableId="501286308">
    <w:abstractNumId w:val="15"/>
  </w:num>
  <w:num w:numId="20" w16cid:durableId="701636615">
    <w:abstractNumId w:val="17"/>
  </w:num>
  <w:num w:numId="21" w16cid:durableId="998073205">
    <w:abstractNumId w:val="22"/>
  </w:num>
  <w:num w:numId="22" w16cid:durableId="1872721410">
    <w:abstractNumId w:val="19"/>
  </w:num>
  <w:num w:numId="23" w16cid:durableId="278686988">
    <w:abstractNumId w:val="21"/>
  </w:num>
  <w:num w:numId="24" w16cid:durableId="1160120900">
    <w:abstractNumId w:val="18"/>
  </w:num>
  <w:num w:numId="25" w16cid:durableId="683021088">
    <w:abstractNumId w:val="6"/>
  </w:num>
  <w:num w:numId="26" w16cid:durableId="167864261">
    <w:abstractNumId w:val="8"/>
  </w:num>
  <w:num w:numId="27" w16cid:durableId="1868324101">
    <w:abstractNumId w:val="31"/>
  </w:num>
  <w:num w:numId="28" w16cid:durableId="1264990994">
    <w:abstractNumId w:val="12"/>
  </w:num>
  <w:num w:numId="29" w16cid:durableId="1814982556">
    <w:abstractNumId w:val="5"/>
  </w:num>
  <w:num w:numId="30" w16cid:durableId="1015961514">
    <w:abstractNumId w:val="0"/>
  </w:num>
  <w:num w:numId="31" w16cid:durableId="381028019">
    <w:abstractNumId w:val="9"/>
  </w:num>
  <w:num w:numId="32" w16cid:durableId="478498026">
    <w:abstractNumId w:val="20"/>
  </w:num>
  <w:num w:numId="33" w16cid:durableId="799760992">
    <w:abstractNumId w:val="2"/>
  </w:num>
  <w:num w:numId="34" w16cid:durableId="1082332014">
    <w:abstractNumId w:val="3"/>
  </w:num>
  <w:num w:numId="35" w16cid:durableId="2120828871">
    <w:abstractNumId w:val="2"/>
  </w:num>
  <w:num w:numId="36" w16cid:durableId="282074123">
    <w:abstractNumId w:val="12"/>
    <w:lvlOverride w:ilvl="0">
      <w:startOverride w:val="1"/>
    </w:lvlOverride>
  </w:num>
  <w:num w:numId="37" w16cid:durableId="595864835">
    <w:abstractNumId w:val="12"/>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00F6A"/>
    <w:rsid w:val="000117D4"/>
    <w:rsid w:val="000314D7"/>
    <w:rsid w:val="00044F0D"/>
    <w:rsid w:val="00045F8B"/>
    <w:rsid w:val="00046D2B"/>
    <w:rsid w:val="00056263"/>
    <w:rsid w:val="00064D8A"/>
    <w:rsid w:val="00064F82"/>
    <w:rsid w:val="00066510"/>
    <w:rsid w:val="000713D0"/>
    <w:rsid w:val="00077523"/>
    <w:rsid w:val="0008616F"/>
    <w:rsid w:val="0009702C"/>
    <w:rsid w:val="000C089F"/>
    <w:rsid w:val="000C3928"/>
    <w:rsid w:val="000C5E8E"/>
    <w:rsid w:val="000F4751"/>
    <w:rsid w:val="000F4992"/>
    <w:rsid w:val="001027AE"/>
    <w:rsid w:val="0010524C"/>
    <w:rsid w:val="00111FB1"/>
    <w:rsid w:val="00113418"/>
    <w:rsid w:val="00131B7B"/>
    <w:rsid w:val="00135555"/>
    <w:rsid w:val="001356F1"/>
    <w:rsid w:val="00136994"/>
    <w:rsid w:val="0014128E"/>
    <w:rsid w:val="00146B1F"/>
    <w:rsid w:val="00151888"/>
    <w:rsid w:val="0015604C"/>
    <w:rsid w:val="00170A2D"/>
    <w:rsid w:val="00175754"/>
    <w:rsid w:val="001808BC"/>
    <w:rsid w:val="00182B81"/>
    <w:rsid w:val="0018619D"/>
    <w:rsid w:val="00194099"/>
    <w:rsid w:val="001A011E"/>
    <w:rsid w:val="001A066A"/>
    <w:rsid w:val="001A13E6"/>
    <w:rsid w:val="001A5731"/>
    <w:rsid w:val="001B42C3"/>
    <w:rsid w:val="001C5D5E"/>
    <w:rsid w:val="001D678D"/>
    <w:rsid w:val="001E03F8"/>
    <w:rsid w:val="001E1678"/>
    <w:rsid w:val="001E3376"/>
    <w:rsid w:val="002069B3"/>
    <w:rsid w:val="00221848"/>
    <w:rsid w:val="002329CF"/>
    <w:rsid w:val="00232F5B"/>
    <w:rsid w:val="0023394B"/>
    <w:rsid w:val="00247C29"/>
    <w:rsid w:val="00260467"/>
    <w:rsid w:val="00263EA3"/>
    <w:rsid w:val="002702ED"/>
    <w:rsid w:val="00284F85"/>
    <w:rsid w:val="00290915"/>
    <w:rsid w:val="002A22E2"/>
    <w:rsid w:val="002C64F7"/>
    <w:rsid w:val="002F0F1E"/>
    <w:rsid w:val="002F41F2"/>
    <w:rsid w:val="00301BF3"/>
    <w:rsid w:val="0030208D"/>
    <w:rsid w:val="003175A9"/>
    <w:rsid w:val="00323418"/>
    <w:rsid w:val="003357BF"/>
    <w:rsid w:val="00340383"/>
    <w:rsid w:val="00364B08"/>
    <w:rsid w:val="00364FAD"/>
    <w:rsid w:val="0036738F"/>
    <w:rsid w:val="0036759C"/>
    <w:rsid w:val="00367AE5"/>
    <w:rsid w:val="00367D71"/>
    <w:rsid w:val="0038150A"/>
    <w:rsid w:val="00387FC7"/>
    <w:rsid w:val="003B1773"/>
    <w:rsid w:val="003B3B99"/>
    <w:rsid w:val="003B6E75"/>
    <w:rsid w:val="003B7DA1"/>
    <w:rsid w:val="003C676E"/>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32A7"/>
    <w:rsid w:val="00462AB5"/>
    <w:rsid w:val="00465EAF"/>
    <w:rsid w:val="004738C5"/>
    <w:rsid w:val="00491046"/>
    <w:rsid w:val="004A2AC7"/>
    <w:rsid w:val="004A6D2F"/>
    <w:rsid w:val="004B460B"/>
    <w:rsid w:val="004B7F47"/>
    <w:rsid w:val="004C2887"/>
    <w:rsid w:val="004D2626"/>
    <w:rsid w:val="004D6E26"/>
    <w:rsid w:val="004D77D3"/>
    <w:rsid w:val="004E2959"/>
    <w:rsid w:val="004E5016"/>
    <w:rsid w:val="004F10A1"/>
    <w:rsid w:val="004F20EF"/>
    <w:rsid w:val="00501341"/>
    <w:rsid w:val="0050321C"/>
    <w:rsid w:val="0054712D"/>
    <w:rsid w:val="00547EF6"/>
    <w:rsid w:val="005570B5"/>
    <w:rsid w:val="00567E18"/>
    <w:rsid w:val="00575F5F"/>
    <w:rsid w:val="00581805"/>
    <w:rsid w:val="00585F76"/>
    <w:rsid w:val="00586DBA"/>
    <w:rsid w:val="005A34E4"/>
    <w:rsid w:val="005B17F2"/>
    <w:rsid w:val="005B7FB0"/>
    <w:rsid w:val="005C35A5"/>
    <w:rsid w:val="005C577C"/>
    <w:rsid w:val="005D0621"/>
    <w:rsid w:val="005D1E27"/>
    <w:rsid w:val="005D2A3E"/>
    <w:rsid w:val="005E022E"/>
    <w:rsid w:val="005E5215"/>
    <w:rsid w:val="005F7F7E"/>
    <w:rsid w:val="006101E6"/>
    <w:rsid w:val="00614693"/>
    <w:rsid w:val="00623C2F"/>
    <w:rsid w:val="00633578"/>
    <w:rsid w:val="00637068"/>
    <w:rsid w:val="00641712"/>
    <w:rsid w:val="006456B2"/>
    <w:rsid w:val="00650811"/>
    <w:rsid w:val="00661D3E"/>
    <w:rsid w:val="00663C70"/>
    <w:rsid w:val="006701DC"/>
    <w:rsid w:val="00673F94"/>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03855"/>
    <w:rsid w:val="00713675"/>
    <w:rsid w:val="00715823"/>
    <w:rsid w:val="007315F5"/>
    <w:rsid w:val="00737B5F"/>
    <w:rsid w:val="00737B93"/>
    <w:rsid w:val="00745BF0"/>
    <w:rsid w:val="007615FE"/>
    <w:rsid w:val="00764B69"/>
    <w:rsid w:val="0076655C"/>
    <w:rsid w:val="007742DC"/>
    <w:rsid w:val="00791437"/>
    <w:rsid w:val="00796FDB"/>
    <w:rsid w:val="007B0C2C"/>
    <w:rsid w:val="007B278E"/>
    <w:rsid w:val="007C5C23"/>
    <w:rsid w:val="007E2A26"/>
    <w:rsid w:val="007E3A99"/>
    <w:rsid w:val="007F2348"/>
    <w:rsid w:val="00803F07"/>
    <w:rsid w:val="0080749A"/>
    <w:rsid w:val="00813E14"/>
    <w:rsid w:val="00821FB8"/>
    <w:rsid w:val="00822ACD"/>
    <w:rsid w:val="00855C66"/>
    <w:rsid w:val="00871EE4"/>
    <w:rsid w:val="008A65BA"/>
    <w:rsid w:val="008B293F"/>
    <w:rsid w:val="008B7371"/>
    <w:rsid w:val="008D3DDB"/>
    <w:rsid w:val="008E0BB9"/>
    <w:rsid w:val="008F19EC"/>
    <w:rsid w:val="008F4367"/>
    <w:rsid w:val="008F573F"/>
    <w:rsid w:val="009034EC"/>
    <w:rsid w:val="00927B2D"/>
    <w:rsid w:val="0093067A"/>
    <w:rsid w:val="00941C60"/>
    <w:rsid w:val="00966D42"/>
    <w:rsid w:val="00971689"/>
    <w:rsid w:val="00973E90"/>
    <w:rsid w:val="00975B07"/>
    <w:rsid w:val="00980B4A"/>
    <w:rsid w:val="009E3D0A"/>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92071"/>
    <w:rsid w:val="00A92D8F"/>
    <w:rsid w:val="00AA42C1"/>
    <w:rsid w:val="00AB2988"/>
    <w:rsid w:val="00AB7999"/>
    <w:rsid w:val="00AC7D47"/>
    <w:rsid w:val="00AD3292"/>
    <w:rsid w:val="00AE42D6"/>
    <w:rsid w:val="00AE782F"/>
    <w:rsid w:val="00AE7AF0"/>
    <w:rsid w:val="00B500CA"/>
    <w:rsid w:val="00B50BEC"/>
    <w:rsid w:val="00B86314"/>
    <w:rsid w:val="00BA1C2E"/>
    <w:rsid w:val="00BB2C03"/>
    <w:rsid w:val="00BB4BAC"/>
    <w:rsid w:val="00BC200B"/>
    <w:rsid w:val="00BC4756"/>
    <w:rsid w:val="00BC5362"/>
    <w:rsid w:val="00BC69A4"/>
    <w:rsid w:val="00BE0680"/>
    <w:rsid w:val="00BE305F"/>
    <w:rsid w:val="00BE52E3"/>
    <w:rsid w:val="00BE7BA3"/>
    <w:rsid w:val="00BF5682"/>
    <w:rsid w:val="00BF7B09"/>
    <w:rsid w:val="00C002C5"/>
    <w:rsid w:val="00C01C49"/>
    <w:rsid w:val="00C20A95"/>
    <w:rsid w:val="00C2692F"/>
    <w:rsid w:val="00C3207C"/>
    <w:rsid w:val="00C400E1"/>
    <w:rsid w:val="00C41187"/>
    <w:rsid w:val="00C61418"/>
    <w:rsid w:val="00C63C31"/>
    <w:rsid w:val="00C67822"/>
    <w:rsid w:val="00C757A0"/>
    <w:rsid w:val="00C760DE"/>
    <w:rsid w:val="00C82630"/>
    <w:rsid w:val="00C85B4E"/>
    <w:rsid w:val="00C868C1"/>
    <w:rsid w:val="00C907F7"/>
    <w:rsid w:val="00C9438F"/>
    <w:rsid w:val="00CA1CEA"/>
    <w:rsid w:val="00CA2103"/>
    <w:rsid w:val="00CB6B99"/>
    <w:rsid w:val="00CE4C87"/>
    <w:rsid w:val="00CE544A"/>
    <w:rsid w:val="00D11E1C"/>
    <w:rsid w:val="00D160B0"/>
    <w:rsid w:val="00D17F94"/>
    <w:rsid w:val="00D2126B"/>
    <w:rsid w:val="00D223FC"/>
    <w:rsid w:val="00D26D1E"/>
    <w:rsid w:val="00D2739C"/>
    <w:rsid w:val="00D474CF"/>
    <w:rsid w:val="00D5068C"/>
    <w:rsid w:val="00D5547E"/>
    <w:rsid w:val="00D869A1"/>
    <w:rsid w:val="00DA413F"/>
    <w:rsid w:val="00DA4584"/>
    <w:rsid w:val="00DA614B"/>
    <w:rsid w:val="00DC3060"/>
    <w:rsid w:val="00DE0FB2"/>
    <w:rsid w:val="00DF093E"/>
    <w:rsid w:val="00E01F42"/>
    <w:rsid w:val="00E206D6"/>
    <w:rsid w:val="00E3366E"/>
    <w:rsid w:val="00E47211"/>
    <w:rsid w:val="00E52086"/>
    <w:rsid w:val="00E543A6"/>
    <w:rsid w:val="00E60479"/>
    <w:rsid w:val="00E61D73"/>
    <w:rsid w:val="00E73684"/>
    <w:rsid w:val="00E818D6"/>
    <w:rsid w:val="00E838EC"/>
    <w:rsid w:val="00E87F7A"/>
    <w:rsid w:val="00E96BD7"/>
    <w:rsid w:val="00EA0DB1"/>
    <w:rsid w:val="00EA0EE9"/>
    <w:rsid w:val="00EC08BE"/>
    <w:rsid w:val="00ED52CA"/>
    <w:rsid w:val="00ED5860"/>
    <w:rsid w:val="00EE35C9"/>
    <w:rsid w:val="00F05ECA"/>
    <w:rsid w:val="00F31DC0"/>
    <w:rsid w:val="00F3566E"/>
    <w:rsid w:val="00F375FB"/>
    <w:rsid w:val="00F41AC1"/>
    <w:rsid w:val="00F4367A"/>
    <w:rsid w:val="00F4457B"/>
    <w:rsid w:val="00F445B1"/>
    <w:rsid w:val="00F451E5"/>
    <w:rsid w:val="00F45CD4"/>
    <w:rsid w:val="00F65C22"/>
    <w:rsid w:val="00F66DCA"/>
    <w:rsid w:val="00F74F53"/>
    <w:rsid w:val="00F7606D"/>
    <w:rsid w:val="00F81670"/>
    <w:rsid w:val="00F82024"/>
    <w:rsid w:val="00F95BC9"/>
    <w:rsid w:val="00FA624C"/>
    <w:rsid w:val="00FB7CBB"/>
    <w:rsid w:val="00FD0FAC"/>
    <w:rsid w:val="00FD1DFA"/>
    <w:rsid w:val="00FD4966"/>
    <w:rsid w:val="00FD5D28"/>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F762FDF"/>
  <w15:docId w15:val="{5736E730-2F31-49B8-A4AE-5DBCB1B4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68C"/>
    <w:rPr>
      <w:color w:val="000000"/>
      <w:sz w:val="24"/>
      <w:szCs w:val="24"/>
    </w:rPr>
  </w:style>
  <w:style w:type="paragraph" w:styleId="Heading1">
    <w:name w:val="heading 1"/>
    <w:aliases w:val="aMainHeader"/>
    <w:basedOn w:val="Normal"/>
    <w:next w:val="Normal"/>
    <w:link w:val="Heading1Char"/>
    <w:qFormat/>
    <w:rsid w:val="00D5068C"/>
    <w:pPr>
      <w:ind w:left="567" w:hanging="709"/>
      <w:outlineLvl w:val="0"/>
    </w:pPr>
    <w:rPr>
      <w:b/>
      <w:color w:val="auto"/>
      <w:sz w:val="28"/>
      <w:szCs w:val="28"/>
      <w:lang w:eastAsia="en-US"/>
    </w:rPr>
  </w:style>
  <w:style w:type="paragraph" w:styleId="Heading2">
    <w:name w:val="heading 2"/>
    <w:aliases w:val="bHeader"/>
    <w:basedOn w:val="Normal"/>
    <w:next w:val="Normal"/>
    <w:qFormat/>
    <w:rsid w:val="00D5068C"/>
    <w:pPr>
      <w:numPr>
        <w:numId w:val="31"/>
      </w:numPr>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D5068C"/>
    <w:pPr>
      <w:numPr>
        <w:numId w:val="32"/>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D506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5068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068C"/>
    <w:rPr>
      <w:rFonts w:ascii="Tahoma" w:hAnsi="Tahoma" w:cs="Tahoma"/>
      <w:sz w:val="16"/>
      <w:szCs w:val="16"/>
    </w:rPr>
  </w:style>
  <w:style w:type="character" w:customStyle="1" w:styleId="BalloonTextChar">
    <w:name w:val="Balloon Text Char"/>
    <w:basedOn w:val="DefaultParagraphFont"/>
    <w:link w:val="BalloonText"/>
    <w:rsid w:val="00D5068C"/>
    <w:rPr>
      <w:rFonts w:ascii="Tahoma" w:hAnsi="Tahoma" w:cs="Tahoma"/>
      <w:color w:val="000000"/>
      <w:sz w:val="16"/>
      <w:szCs w:val="16"/>
    </w:rPr>
  </w:style>
  <w:style w:type="paragraph" w:styleId="Caption">
    <w:name w:val="caption"/>
    <w:aliases w:val="Figure/TableCaption"/>
    <w:basedOn w:val="Normal"/>
    <w:next w:val="Normal"/>
    <w:unhideWhenUsed/>
    <w:qFormat/>
    <w:rsid w:val="00D5068C"/>
    <w:pPr>
      <w:jc w:val="center"/>
    </w:pPr>
    <w:rPr>
      <w:b/>
    </w:rPr>
  </w:style>
  <w:style w:type="character" w:styleId="CommentReference">
    <w:name w:val="annotation reference"/>
    <w:rsid w:val="00D5068C"/>
    <w:rPr>
      <w:sz w:val="16"/>
      <w:szCs w:val="16"/>
    </w:rPr>
  </w:style>
  <w:style w:type="paragraph" w:styleId="CommentText">
    <w:name w:val="annotation text"/>
    <w:basedOn w:val="Normal"/>
    <w:link w:val="CommentTextChar"/>
    <w:rsid w:val="00D5068C"/>
    <w:rPr>
      <w:sz w:val="20"/>
      <w:szCs w:val="20"/>
    </w:rPr>
  </w:style>
  <w:style w:type="character" w:customStyle="1" w:styleId="CommentTextChar">
    <w:name w:val="Comment Text Char"/>
    <w:basedOn w:val="DefaultParagraphFont"/>
    <w:link w:val="CommentText"/>
    <w:rsid w:val="00D5068C"/>
    <w:rPr>
      <w:color w:val="000000"/>
    </w:rPr>
  </w:style>
  <w:style w:type="paragraph" w:styleId="CommentSubject">
    <w:name w:val="annotation subject"/>
    <w:basedOn w:val="CommentText"/>
    <w:next w:val="CommentText"/>
    <w:link w:val="CommentSubjectChar"/>
    <w:rsid w:val="00D5068C"/>
    <w:rPr>
      <w:b/>
      <w:bCs/>
    </w:rPr>
  </w:style>
  <w:style w:type="character" w:customStyle="1" w:styleId="CommentSubjectChar">
    <w:name w:val="Comment Subject Char"/>
    <w:basedOn w:val="CommentTextChar"/>
    <w:link w:val="CommentSubject"/>
    <w:rsid w:val="00D5068C"/>
    <w:rPr>
      <w:b/>
      <w:bCs/>
      <w:color w:val="000000"/>
    </w:rPr>
  </w:style>
  <w:style w:type="paragraph" w:customStyle="1" w:styleId="dBulletpoints">
    <w:name w:val="dBullet points"/>
    <w:basedOn w:val="Normal"/>
    <w:link w:val="dBulletpointsChar"/>
    <w:qFormat/>
    <w:rsid w:val="00D5068C"/>
    <w:pPr>
      <w:numPr>
        <w:numId w:val="27"/>
      </w:numPr>
      <w:spacing w:after="120"/>
      <w:ind w:left="1418" w:hanging="425"/>
    </w:pPr>
    <w:rPr>
      <w:color w:val="auto"/>
      <w:lang w:eastAsia="en-US"/>
    </w:rPr>
  </w:style>
  <w:style w:type="character" w:customStyle="1" w:styleId="dBulletpointsChar">
    <w:name w:val="dBullet points Char"/>
    <w:link w:val="dBulletpoints"/>
    <w:rsid w:val="00D5068C"/>
    <w:rPr>
      <w:sz w:val="24"/>
      <w:szCs w:val="24"/>
      <w:lang w:eastAsia="en-US"/>
    </w:rPr>
  </w:style>
  <w:style w:type="paragraph" w:customStyle="1" w:styleId="dLetterListPara">
    <w:name w:val="dLetterListPara"/>
    <w:basedOn w:val="Normal"/>
    <w:link w:val="dLetterListParaChar"/>
    <w:qFormat/>
    <w:rsid w:val="00D5068C"/>
    <w:pPr>
      <w:spacing w:after="120"/>
      <w:ind w:left="992"/>
    </w:pPr>
    <w:rPr>
      <w:color w:val="auto"/>
      <w:lang w:eastAsia="en-US"/>
    </w:rPr>
  </w:style>
  <w:style w:type="character" w:customStyle="1" w:styleId="dLetterListParaChar">
    <w:name w:val="dLetterListPara Char"/>
    <w:basedOn w:val="DefaultParagraphFont"/>
    <w:link w:val="dLetterListPara"/>
    <w:rsid w:val="00D5068C"/>
    <w:rPr>
      <w:sz w:val="24"/>
      <w:szCs w:val="24"/>
      <w:lang w:eastAsia="en-US"/>
    </w:rPr>
  </w:style>
  <w:style w:type="paragraph" w:customStyle="1" w:styleId="dLetterLettPara">
    <w:name w:val="dLetterLettPara"/>
    <w:basedOn w:val="dLetterListPara"/>
    <w:link w:val="dLetterLettParaChar"/>
    <w:qFormat/>
    <w:rsid w:val="00D5068C"/>
    <w:pPr>
      <w:numPr>
        <w:numId w:val="28"/>
      </w:numPr>
      <w:ind w:left="993" w:hanging="426"/>
    </w:pPr>
  </w:style>
  <w:style w:type="character" w:customStyle="1" w:styleId="dLetterLettParaChar">
    <w:name w:val="dLetterLettPara Char"/>
    <w:basedOn w:val="dLetterListParaChar"/>
    <w:link w:val="dLetterLettPara"/>
    <w:rsid w:val="00D5068C"/>
    <w:rPr>
      <w:sz w:val="24"/>
      <w:szCs w:val="24"/>
      <w:lang w:eastAsia="en-US"/>
    </w:rPr>
  </w:style>
  <w:style w:type="paragraph" w:customStyle="1" w:styleId="dNormParatext">
    <w:name w:val="dNormPara text"/>
    <w:basedOn w:val="Normal"/>
    <w:link w:val="dNormParatextChar"/>
    <w:qFormat/>
    <w:rsid w:val="00D5068C"/>
    <w:pPr>
      <w:spacing w:after="120"/>
      <w:ind w:left="567"/>
    </w:pPr>
    <w:rPr>
      <w:color w:val="auto"/>
      <w:lang w:eastAsia="en-US"/>
    </w:rPr>
  </w:style>
  <w:style w:type="character" w:customStyle="1" w:styleId="dNormParatextChar">
    <w:name w:val="dNormPara text Char"/>
    <w:link w:val="dNormParatext"/>
    <w:rsid w:val="00D5068C"/>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D5068C"/>
    <w:pPr>
      <w:numPr>
        <w:numId w:val="29"/>
      </w:numPr>
    </w:pPr>
  </w:style>
  <w:style w:type="paragraph" w:customStyle="1" w:styleId="eRomanSubList">
    <w:name w:val="eRomanSubList"/>
    <w:basedOn w:val="dLetterListPara"/>
    <w:link w:val="eRomanSubListChar"/>
    <w:qFormat/>
    <w:rsid w:val="00D5068C"/>
    <w:pPr>
      <w:numPr>
        <w:numId w:val="30"/>
      </w:numPr>
    </w:pPr>
  </w:style>
  <w:style w:type="character" w:customStyle="1" w:styleId="eRomanSubListChar">
    <w:name w:val="eRomanSubList Char"/>
    <w:link w:val="eRomanSubList"/>
    <w:rsid w:val="00D5068C"/>
    <w:rPr>
      <w:sz w:val="24"/>
      <w:szCs w:val="24"/>
      <w:lang w:eastAsia="en-US"/>
    </w:rPr>
  </w:style>
  <w:style w:type="paragraph" w:styleId="Header">
    <w:name w:val="header"/>
    <w:aliases w:val="zzPageHeader"/>
    <w:basedOn w:val="Normal"/>
    <w:link w:val="HeaderChar"/>
    <w:uiPriority w:val="99"/>
    <w:qFormat/>
    <w:rsid w:val="00D5068C"/>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D5068C"/>
    <w:rPr>
      <w:color w:val="0000FF"/>
      <w:sz w:val="28"/>
      <w:szCs w:val="28"/>
    </w:rPr>
  </w:style>
  <w:style w:type="paragraph" w:styleId="Footer">
    <w:name w:val="footer"/>
    <w:aliases w:val="zzFooter"/>
    <w:basedOn w:val="Header"/>
    <w:link w:val="FooterChar"/>
    <w:uiPriority w:val="99"/>
    <w:qFormat/>
    <w:rsid w:val="00D5068C"/>
    <w:rPr>
      <w:sz w:val="22"/>
      <w:szCs w:val="22"/>
    </w:rPr>
  </w:style>
  <w:style w:type="character" w:customStyle="1" w:styleId="FooterChar">
    <w:name w:val="Footer Char"/>
    <w:aliases w:val="zzFooter Char"/>
    <w:basedOn w:val="DefaultParagraphFont"/>
    <w:link w:val="Footer"/>
    <w:uiPriority w:val="99"/>
    <w:rsid w:val="00D5068C"/>
    <w:rPr>
      <w:color w:val="0000FF"/>
      <w:sz w:val="22"/>
      <w:szCs w:val="22"/>
    </w:rPr>
  </w:style>
  <w:style w:type="character" w:styleId="FootnoteReference">
    <w:name w:val="footnote reference"/>
    <w:basedOn w:val="DefaultParagraphFont"/>
    <w:rsid w:val="00D5068C"/>
    <w:rPr>
      <w:vertAlign w:val="superscript"/>
    </w:rPr>
  </w:style>
  <w:style w:type="paragraph" w:styleId="FootnoteText">
    <w:name w:val="footnote text"/>
    <w:basedOn w:val="Normal"/>
    <w:link w:val="FootnoteTextChar"/>
    <w:qFormat/>
    <w:rsid w:val="00D5068C"/>
    <w:rPr>
      <w:i/>
      <w:color w:val="404040" w:themeColor="text1" w:themeTint="BF"/>
      <w:sz w:val="22"/>
      <w:szCs w:val="20"/>
    </w:rPr>
  </w:style>
  <w:style w:type="character" w:customStyle="1" w:styleId="FootnoteTextChar">
    <w:name w:val="Footnote Text Char"/>
    <w:basedOn w:val="DefaultParagraphFont"/>
    <w:link w:val="FootnoteText"/>
    <w:rsid w:val="00D5068C"/>
    <w:rPr>
      <w:i/>
      <w:color w:val="404040" w:themeColor="text1" w:themeTint="BF"/>
      <w:sz w:val="22"/>
    </w:rPr>
  </w:style>
  <w:style w:type="character" w:customStyle="1" w:styleId="Heading3Char">
    <w:name w:val="Heading 3 Char"/>
    <w:aliases w:val="cSectHeader Char"/>
    <w:basedOn w:val="DefaultParagraphFont"/>
    <w:link w:val="Heading3"/>
    <w:rsid w:val="00D5068C"/>
    <w:rPr>
      <w:sz w:val="24"/>
      <w:szCs w:val="24"/>
      <w:lang w:eastAsia="en-US"/>
    </w:rPr>
  </w:style>
  <w:style w:type="character" w:customStyle="1" w:styleId="Heading4Char">
    <w:name w:val="Heading 4 Char"/>
    <w:basedOn w:val="DefaultParagraphFont"/>
    <w:link w:val="Heading4"/>
    <w:rsid w:val="00D5068C"/>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D5068C"/>
    <w:rPr>
      <w:b/>
      <w:sz w:val="28"/>
      <w:szCs w:val="28"/>
      <w:lang w:eastAsia="en-US"/>
    </w:rPr>
  </w:style>
  <w:style w:type="character" w:styleId="Hyperlink">
    <w:name w:val="Hyperlink"/>
    <w:uiPriority w:val="99"/>
    <w:qFormat/>
    <w:rsid w:val="00D5068C"/>
    <w:rPr>
      <w:i/>
      <w:color w:val="0000FF"/>
      <w:u w:val="single"/>
    </w:rPr>
  </w:style>
  <w:style w:type="table" w:styleId="LightList-Accent2">
    <w:name w:val="Light List Accent 2"/>
    <w:basedOn w:val="TableNormal"/>
    <w:uiPriority w:val="61"/>
    <w:rsid w:val="00D5068C"/>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D5068C"/>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D5068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D5068C"/>
    <w:pPr>
      <w:numPr>
        <w:numId w:val="35"/>
      </w:numPr>
      <w:tabs>
        <w:tab w:val="left" w:pos="426"/>
      </w:tabs>
    </w:pPr>
  </w:style>
  <w:style w:type="character" w:customStyle="1" w:styleId="ListParagraphChar">
    <w:name w:val="List Paragraph Char"/>
    <w:link w:val="ListParagraph"/>
    <w:uiPriority w:val="34"/>
    <w:rsid w:val="00D5068C"/>
    <w:rPr>
      <w:color w:val="000000"/>
      <w:sz w:val="24"/>
      <w:szCs w:val="24"/>
    </w:rPr>
  </w:style>
  <w:style w:type="paragraph" w:styleId="NoSpacing">
    <w:name w:val="No Spacing"/>
    <w:uiPriority w:val="1"/>
    <w:rsid w:val="00D5068C"/>
    <w:pPr>
      <w:spacing w:after="120"/>
    </w:pPr>
    <w:rPr>
      <w:color w:val="000000"/>
      <w:sz w:val="24"/>
      <w:szCs w:val="24"/>
      <w:lang w:eastAsia="en-US"/>
    </w:rPr>
  </w:style>
  <w:style w:type="paragraph" w:styleId="NormalWeb">
    <w:name w:val="Normal (Web)"/>
    <w:basedOn w:val="Normal"/>
    <w:rsid w:val="00D5068C"/>
    <w:pPr>
      <w:spacing w:before="100" w:beforeAutospacing="1" w:after="100" w:afterAutospacing="1"/>
    </w:pPr>
    <w:rPr>
      <w:rFonts w:ascii="Arial Unicode MS" w:eastAsia="Arial Unicode MS" w:hAnsi="Arial Unicode MS" w:cs="Arial Unicode MS"/>
    </w:rPr>
  </w:style>
  <w:style w:type="character" w:styleId="PageNumber">
    <w:name w:val="page number"/>
    <w:rsid w:val="00D5068C"/>
    <w:rPr>
      <w:rFonts w:ascii="Arial" w:hAnsi="Arial"/>
      <w:sz w:val="18"/>
    </w:rPr>
  </w:style>
  <w:style w:type="paragraph" w:styleId="Quote">
    <w:name w:val="Quote"/>
    <w:basedOn w:val="Normal"/>
    <w:next w:val="Normal"/>
    <w:link w:val="QuoteChar"/>
    <w:uiPriority w:val="29"/>
    <w:qFormat/>
    <w:rsid w:val="00D5068C"/>
    <w:rPr>
      <w:i/>
    </w:rPr>
  </w:style>
  <w:style w:type="character" w:customStyle="1" w:styleId="QuoteChar">
    <w:name w:val="Quote Char"/>
    <w:link w:val="Quote"/>
    <w:uiPriority w:val="29"/>
    <w:rsid w:val="00D5068C"/>
    <w:rPr>
      <w:i/>
      <w:color w:val="000000"/>
      <w:sz w:val="24"/>
      <w:szCs w:val="24"/>
    </w:rPr>
  </w:style>
  <w:style w:type="numbering" w:customStyle="1" w:styleId="StyleBulletedSymbolsymbolLeft063cmHanging063cm">
    <w:name w:val="Style Bulleted Symbol (symbol) Left:  0.63 cm Hanging:  0.63 cm"/>
    <w:basedOn w:val="NoList"/>
    <w:rsid w:val="00D5068C"/>
    <w:pPr>
      <w:numPr>
        <w:numId w:val="34"/>
      </w:numPr>
    </w:pPr>
  </w:style>
  <w:style w:type="numbering" w:customStyle="1" w:styleId="StyleNumberedLeft0cmHanging075cm">
    <w:name w:val="Style Numbered Left:  0 cm Hanging:  0.75 cm"/>
    <w:basedOn w:val="NoList"/>
    <w:rsid w:val="00D5068C"/>
    <w:pPr>
      <w:numPr>
        <w:numId w:val="33"/>
      </w:numPr>
    </w:pPr>
  </w:style>
  <w:style w:type="table" w:styleId="Table3Deffects1">
    <w:name w:val="Table 3D effects 1"/>
    <w:basedOn w:val="TableNormal"/>
    <w:rsid w:val="00D5068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068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D5068C"/>
    <w:pPr>
      <w:numPr>
        <w:numId w:val="0"/>
      </w:numPr>
    </w:pPr>
    <w:rPr>
      <w:bCs w:val="0"/>
      <w:szCs w:val="20"/>
    </w:rPr>
  </w:style>
  <w:style w:type="table" w:styleId="TableGrid">
    <w:name w:val="Table Grid"/>
    <w:basedOn w:val="TableNormal"/>
    <w:rsid w:val="00D5068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D5068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D5068C"/>
    <w:pPr>
      <w:spacing w:before="120"/>
    </w:pPr>
    <w:rPr>
      <w:rFonts w:ascii="Cambria" w:hAnsi="Cambria"/>
      <w:b/>
      <w:bCs/>
    </w:rPr>
  </w:style>
  <w:style w:type="paragraph" w:styleId="TOC1">
    <w:name w:val="toc 1"/>
    <w:basedOn w:val="Normal"/>
    <w:next w:val="Normal"/>
    <w:autoRedefine/>
    <w:uiPriority w:val="39"/>
    <w:qFormat/>
    <w:rsid w:val="006456B2"/>
    <w:pPr>
      <w:tabs>
        <w:tab w:val="right" w:leader="dot" w:pos="9016"/>
      </w:tabs>
      <w:spacing w:after="100"/>
      <w:ind w:left="1134" w:hanging="567"/>
    </w:pPr>
    <w:rPr>
      <w:noProof/>
      <w:color w:val="0000FF"/>
    </w:rPr>
  </w:style>
  <w:style w:type="paragraph" w:styleId="TOC2">
    <w:name w:val="toc 2"/>
    <w:basedOn w:val="Normal"/>
    <w:next w:val="Normal"/>
    <w:autoRedefine/>
    <w:uiPriority w:val="39"/>
    <w:rsid w:val="00FD5D2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100B-C9EE-4BB4-9A91-AF8BBAD1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1181</Words>
  <Characters>5955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7122</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8</cp:revision>
  <cp:lastPrinted>2015-07-03T12:50:00Z</cp:lastPrinted>
  <dcterms:created xsi:type="dcterms:W3CDTF">2021-02-05T15:14:00Z</dcterms:created>
  <dcterms:modified xsi:type="dcterms:W3CDTF">2024-11-26T20:04:00Z</dcterms:modified>
</cp:coreProperties>
</file>