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305A" w14:textId="77777777" w:rsidR="00182C8E" w:rsidRPr="00182C8E" w:rsidRDefault="00182C8E" w:rsidP="00276ABD">
      <w:pPr>
        <w:pStyle w:val="Heading1"/>
      </w:pPr>
      <w:bookmarkStart w:id="0" w:name="_Toc6322111"/>
      <w:bookmarkStart w:id="1" w:name="_Toc496702901"/>
      <w:bookmarkStart w:id="2" w:name="_Toc496702441"/>
      <w:bookmarkStart w:id="3" w:name="_Toc496702197"/>
      <w:bookmarkStart w:id="4" w:name="_Toc496701503"/>
      <w:r w:rsidRPr="00182C8E">
        <w:t>9.</w:t>
      </w:r>
      <w:r w:rsidRPr="00182C8E">
        <w:tab/>
        <w:t>R</w:t>
      </w:r>
      <w:r w:rsidR="009B08D3" w:rsidRPr="009B08D3">
        <w:t>oles of Officers</w:t>
      </w:r>
      <w:r w:rsidRPr="00182C8E">
        <w:t xml:space="preserve"> </w:t>
      </w:r>
      <w:bookmarkEnd w:id="0"/>
      <w:bookmarkEnd w:id="1"/>
      <w:bookmarkEnd w:id="2"/>
      <w:bookmarkEnd w:id="3"/>
      <w:bookmarkEnd w:id="4"/>
    </w:p>
    <w:p w14:paraId="64FA305B" w14:textId="77777777" w:rsidR="00182C8E" w:rsidRPr="00182C8E" w:rsidRDefault="00182C8E" w:rsidP="00F57D61">
      <w:pPr>
        <w:pStyle w:val="dNormParatext"/>
      </w:pPr>
    </w:p>
    <w:p w14:paraId="64FA305C" w14:textId="77777777" w:rsidR="008B5206" w:rsidRDefault="008B5206" w:rsidP="008B5206">
      <w:pPr>
        <w:pStyle w:val="TOC1"/>
      </w:pPr>
      <w:r>
        <w:fldChar w:fldCharType="begin"/>
      </w:r>
      <w:r>
        <w:instrText xml:space="preserve"> TOC \o "2-2" \n \p " " \h \z </w:instrText>
      </w:r>
      <w:r>
        <w:fldChar w:fldCharType="separate"/>
      </w:r>
      <w:hyperlink w:anchor="_Toc29820998" w:history="1">
        <w:r w:rsidRPr="00476B2F">
          <w:rPr>
            <w:rStyle w:val="Hyperlink"/>
            <w14:scene3d>
              <w14:camera w14:prst="orthographicFront"/>
              <w14:lightRig w14:rig="threePt" w14:dir="t">
                <w14:rot w14:lat="0" w14:lon="0" w14:rev="0"/>
              </w14:lightRig>
            </w14:scene3d>
          </w:rPr>
          <w:t>9.1</w:t>
        </w:r>
        <w:r>
          <w:tab/>
        </w:r>
        <w:r w:rsidRPr="00476B2F">
          <w:rPr>
            <w:rStyle w:val="Hyperlink"/>
          </w:rPr>
          <w:t>Senior management structure</w:t>
        </w:r>
      </w:hyperlink>
    </w:p>
    <w:p w14:paraId="64FA305D" w14:textId="77777777" w:rsidR="008B5206" w:rsidRDefault="00DB4E1E" w:rsidP="008B5206">
      <w:pPr>
        <w:pStyle w:val="TOC1"/>
      </w:pPr>
      <w:hyperlink w:anchor="_Toc29820999" w:history="1">
        <w:r w:rsidR="008B5206" w:rsidRPr="00476B2F">
          <w:rPr>
            <w:rStyle w:val="Hyperlink"/>
            <w14:scene3d>
              <w14:camera w14:prst="orthographicFront"/>
              <w14:lightRig w14:rig="threePt" w14:dir="t">
                <w14:rot w14:lat="0" w14:lon="0" w14:rev="0"/>
              </w14:lightRig>
            </w14:scene3d>
          </w:rPr>
          <w:t>9.2</w:t>
        </w:r>
        <w:r w:rsidR="008B5206">
          <w:tab/>
        </w:r>
        <w:r w:rsidR="008B5206" w:rsidRPr="00476B2F">
          <w:rPr>
            <w:rStyle w:val="Hyperlink"/>
          </w:rPr>
          <w:t>Head of Paid Service, Monitoring Officer and Chief Finance Officer</w:t>
        </w:r>
      </w:hyperlink>
    </w:p>
    <w:p w14:paraId="64FA305E" w14:textId="77777777" w:rsidR="008B5206" w:rsidRDefault="00DB4E1E" w:rsidP="008B5206">
      <w:pPr>
        <w:pStyle w:val="TOC1"/>
      </w:pPr>
      <w:hyperlink w:anchor="_Toc29821000" w:history="1">
        <w:r w:rsidR="008B5206" w:rsidRPr="00476B2F">
          <w:rPr>
            <w:rStyle w:val="Hyperlink"/>
            <w14:scene3d>
              <w14:camera w14:prst="orthographicFront"/>
              <w14:lightRig w14:rig="threePt" w14:dir="t">
                <w14:rot w14:lat="0" w14:lon="0" w14:rev="0"/>
              </w14:lightRig>
            </w14:scene3d>
          </w:rPr>
          <w:t>9.3</w:t>
        </w:r>
        <w:r w:rsidR="008B5206">
          <w:tab/>
        </w:r>
        <w:r w:rsidR="008B5206" w:rsidRPr="00476B2F">
          <w:rPr>
            <w:rStyle w:val="Hyperlink"/>
          </w:rPr>
          <w:t>Role of Head of Paid Service</w:t>
        </w:r>
      </w:hyperlink>
    </w:p>
    <w:p w14:paraId="64FA305F" w14:textId="77777777" w:rsidR="008B5206" w:rsidRDefault="00DB4E1E" w:rsidP="008B5206">
      <w:pPr>
        <w:pStyle w:val="TOC1"/>
      </w:pPr>
      <w:hyperlink w:anchor="_Toc29821001" w:history="1">
        <w:r w:rsidR="008B5206" w:rsidRPr="00476B2F">
          <w:rPr>
            <w:rStyle w:val="Hyperlink"/>
            <w14:scene3d>
              <w14:camera w14:prst="orthographicFront"/>
              <w14:lightRig w14:rig="threePt" w14:dir="t">
                <w14:rot w14:lat="0" w14:lon="0" w14:rev="0"/>
              </w14:lightRig>
            </w14:scene3d>
          </w:rPr>
          <w:t>9.4</w:t>
        </w:r>
        <w:r w:rsidR="008B5206">
          <w:tab/>
        </w:r>
        <w:r w:rsidR="008B5206" w:rsidRPr="00476B2F">
          <w:rPr>
            <w:rStyle w:val="Hyperlink"/>
          </w:rPr>
          <w:t>Role of Monitoring Officer</w:t>
        </w:r>
      </w:hyperlink>
    </w:p>
    <w:p w14:paraId="64FA3060" w14:textId="77777777" w:rsidR="008B5206" w:rsidRDefault="00DB4E1E" w:rsidP="008B5206">
      <w:pPr>
        <w:pStyle w:val="TOC1"/>
      </w:pPr>
      <w:hyperlink w:anchor="_Toc29821002" w:history="1">
        <w:r w:rsidR="008B5206" w:rsidRPr="00476B2F">
          <w:rPr>
            <w:rStyle w:val="Hyperlink"/>
            <w14:scene3d>
              <w14:camera w14:prst="orthographicFront"/>
              <w14:lightRig w14:rig="threePt" w14:dir="t">
                <w14:rot w14:lat="0" w14:lon="0" w14:rev="0"/>
              </w14:lightRig>
            </w14:scene3d>
          </w:rPr>
          <w:t>9.5</w:t>
        </w:r>
        <w:r w:rsidR="008B5206">
          <w:tab/>
        </w:r>
        <w:r w:rsidR="008B5206" w:rsidRPr="00476B2F">
          <w:rPr>
            <w:rStyle w:val="Hyperlink"/>
          </w:rPr>
          <w:t>Monitoring Officer’s right to information</w:t>
        </w:r>
      </w:hyperlink>
    </w:p>
    <w:p w14:paraId="64FA3061" w14:textId="77777777" w:rsidR="008B5206" w:rsidRDefault="00DB4E1E" w:rsidP="008B5206">
      <w:pPr>
        <w:pStyle w:val="TOC1"/>
      </w:pPr>
      <w:hyperlink w:anchor="_Toc29821003" w:history="1">
        <w:r w:rsidR="008B5206" w:rsidRPr="00476B2F">
          <w:rPr>
            <w:rStyle w:val="Hyperlink"/>
            <w14:scene3d>
              <w14:camera w14:prst="orthographicFront"/>
              <w14:lightRig w14:rig="threePt" w14:dir="t">
                <w14:rot w14:lat="0" w14:lon="0" w14:rev="0"/>
              </w14:lightRig>
            </w14:scene3d>
          </w:rPr>
          <w:t>9.6</w:t>
        </w:r>
        <w:r w:rsidR="008B5206">
          <w:tab/>
        </w:r>
        <w:r w:rsidR="008B5206" w:rsidRPr="00476B2F">
          <w:rPr>
            <w:rStyle w:val="Hyperlink"/>
          </w:rPr>
          <w:t>Role of Chief Finance Officer</w:t>
        </w:r>
      </w:hyperlink>
    </w:p>
    <w:p w14:paraId="64FA3062" w14:textId="77777777" w:rsidR="008B5206" w:rsidRDefault="00DB4E1E" w:rsidP="008B5206">
      <w:pPr>
        <w:pStyle w:val="TOC1"/>
      </w:pPr>
      <w:hyperlink w:anchor="_Toc29821004" w:history="1">
        <w:r w:rsidR="008B5206" w:rsidRPr="00476B2F">
          <w:rPr>
            <w:rStyle w:val="Hyperlink"/>
            <w14:scene3d>
              <w14:camera w14:prst="orthographicFront"/>
              <w14:lightRig w14:rig="threePt" w14:dir="t">
                <w14:rot w14:lat="0" w14:lon="0" w14:rev="0"/>
              </w14:lightRig>
            </w14:scene3d>
          </w:rPr>
          <w:t>9.7</w:t>
        </w:r>
        <w:r w:rsidR="008B5206">
          <w:tab/>
        </w:r>
        <w:r w:rsidR="008B5206" w:rsidRPr="00476B2F">
          <w:rPr>
            <w:rStyle w:val="Hyperlink"/>
          </w:rPr>
          <w:t>Duty to give Monitoring and Chief Finance Officers the resources they need</w:t>
        </w:r>
      </w:hyperlink>
    </w:p>
    <w:p w14:paraId="64FA3063" w14:textId="77777777" w:rsidR="008B5206" w:rsidRDefault="00DB4E1E" w:rsidP="008B5206">
      <w:pPr>
        <w:pStyle w:val="TOC1"/>
      </w:pPr>
      <w:hyperlink w:anchor="_Toc29821005" w:history="1">
        <w:r w:rsidR="008B5206" w:rsidRPr="00476B2F">
          <w:rPr>
            <w:rStyle w:val="Hyperlink"/>
            <w14:scene3d>
              <w14:camera w14:prst="orthographicFront"/>
              <w14:lightRig w14:rig="threePt" w14:dir="t">
                <w14:rot w14:lat="0" w14:lon="0" w14:rev="0"/>
              </w14:lightRig>
            </w14:scene3d>
          </w:rPr>
          <w:t>9.8</w:t>
        </w:r>
        <w:r w:rsidR="008B5206">
          <w:tab/>
        </w:r>
        <w:r w:rsidR="008B5206" w:rsidRPr="00476B2F">
          <w:rPr>
            <w:rStyle w:val="Hyperlink"/>
          </w:rPr>
          <w:t>Duty to tell Monitoring and Chief Finance Officers about procedural, constitutional or vires issues</w:t>
        </w:r>
      </w:hyperlink>
    </w:p>
    <w:p w14:paraId="64FA3064" w14:textId="77777777" w:rsidR="008B5206" w:rsidRDefault="00DB4E1E" w:rsidP="008B5206">
      <w:pPr>
        <w:pStyle w:val="TOC1"/>
      </w:pPr>
      <w:hyperlink w:anchor="_Toc29821006" w:history="1">
        <w:r w:rsidR="008B5206" w:rsidRPr="00476B2F">
          <w:rPr>
            <w:rStyle w:val="Hyperlink"/>
            <w14:scene3d>
              <w14:camera w14:prst="orthographicFront"/>
              <w14:lightRig w14:rig="threePt" w14:dir="t">
                <w14:rot w14:lat="0" w14:lon="0" w14:rev="0"/>
              </w14:lightRig>
            </w14:scene3d>
          </w:rPr>
          <w:t>9.9</w:t>
        </w:r>
        <w:r w:rsidR="008B5206">
          <w:tab/>
        </w:r>
        <w:r w:rsidR="008B5206" w:rsidRPr="00476B2F">
          <w:rPr>
            <w:rStyle w:val="Hyperlink"/>
          </w:rPr>
          <w:t>Restrictions on holding other posts</w:t>
        </w:r>
      </w:hyperlink>
    </w:p>
    <w:p w14:paraId="64FA3065" w14:textId="77777777" w:rsidR="00182C8E" w:rsidRDefault="008B5206" w:rsidP="003D1239">
      <w:pPr>
        <w:pStyle w:val="TOC1"/>
        <w:ind w:left="0" w:firstLine="0"/>
      </w:pPr>
      <w:r>
        <w:fldChar w:fldCharType="end"/>
      </w:r>
    </w:p>
    <w:p w14:paraId="64FA3066" w14:textId="77777777" w:rsidR="003D1239" w:rsidRPr="003D1239" w:rsidRDefault="003D1239" w:rsidP="003D1239">
      <w:pPr>
        <w:rPr>
          <w:highlight w:val="yellow"/>
        </w:rPr>
      </w:pPr>
    </w:p>
    <w:p w14:paraId="64FA3067" w14:textId="77777777" w:rsidR="00182C8E" w:rsidRPr="00276ABD" w:rsidRDefault="00182C8E" w:rsidP="00276ABD">
      <w:pPr>
        <w:pStyle w:val="Heading2"/>
      </w:pPr>
      <w:bookmarkStart w:id="5" w:name="_Toc529963950"/>
      <w:bookmarkStart w:id="6" w:name="_Toc29820998"/>
      <w:r w:rsidRPr="00276ABD">
        <w:t>Senior management structure</w:t>
      </w:r>
      <w:bookmarkEnd w:id="5"/>
      <w:bookmarkEnd w:id="6"/>
    </w:p>
    <w:p w14:paraId="64FA3068" w14:textId="77777777" w:rsidR="009B7DAF" w:rsidRDefault="00182C8E" w:rsidP="009B7DAF">
      <w:pPr>
        <w:pStyle w:val="dNormParatext"/>
      </w:pPr>
      <w:r w:rsidRPr="00182C8E">
        <w:t>The responsibilities of all senior managers are shown in the senior management structure</w:t>
      </w:r>
      <w:r w:rsidR="006C7C3A">
        <w:t xml:space="preserve"> in Annex 1</w:t>
      </w:r>
      <w:r w:rsidRPr="00182C8E">
        <w:t>.</w:t>
      </w:r>
    </w:p>
    <w:p w14:paraId="64FA3069" w14:textId="77777777" w:rsidR="003D1239" w:rsidRPr="00182C8E" w:rsidRDefault="003D1239" w:rsidP="009B7DAF">
      <w:pPr>
        <w:pStyle w:val="dNormParatext"/>
      </w:pPr>
    </w:p>
    <w:p w14:paraId="64FA306A" w14:textId="77777777" w:rsidR="00182C8E" w:rsidRPr="00182C8E" w:rsidRDefault="00182C8E" w:rsidP="00276ABD">
      <w:pPr>
        <w:pStyle w:val="Heading2"/>
      </w:pPr>
      <w:bookmarkStart w:id="7" w:name="_Toc529963951"/>
      <w:bookmarkStart w:id="8" w:name="_Toc29820999"/>
      <w:r w:rsidRPr="00182C8E">
        <w:t>Head of Paid Service, Monitoring Officer and Chief Finance Officer</w:t>
      </w:r>
      <w:bookmarkEnd w:id="7"/>
      <w:bookmarkEnd w:id="8"/>
    </w:p>
    <w:p w14:paraId="64FA306B" w14:textId="77777777" w:rsidR="009B7DAF" w:rsidRDefault="00182C8E" w:rsidP="009B7DAF">
      <w:pPr>
        <w:pStyle w:val="dNormParatext"/>
      </w:pPr>
      <w:r w:rsidRPr="00182C8E">
        <w:t>The Head of Paid Service, the Monitoring Officer and the Chief Finance Officer are the Statutory Officers of the Council.  The Chief Executive is the Head of Paid Service; The Head of Law and Governance is the Monitoring Officer; and the Head of Financial Services is the Chief Finance Officer.</w:t>
      </w:r>
    </w:p>
    <w:p w14:paraId="64FA306C" w14:textId="77777777" w:rsidR="003D1239" w:rsidRPr="00182C8E" w:rsidRDefault="003D1239" w:rsidP="009B7DAF">
      <w:pPr>
        <w:pStyle w:val="dNormParatext"/>
      </w:pPr>
    </w:p>
    <w:p w14:paraId="64FA306D" w14:textId="77777777" w:rsidR="00182C8E" w:rsidRPr="00182C8E" w:rsidRDefault="00182C8E" w:rsidP="00276ABD">
      <w:pPr>
        <w:pStyle w:val="Heading2"/>
      </w:pPr>
      <w:bookmarkStart w:id="9" w:name="_Toc529963952"/>
      <w:bookmarkStart w:id="10" w:name="_Toc29821000"/>
      <w:r w:rsidRPr="00182C8E">
        <w:t>Role of Head of Paid Service</w:t>
      </w:r>
      <w:bookmarkEnd w:id="9"/>
      <w:bookmarkEnd w:id="10"/>
    </w:p>
    <w:p w14:paraId="64FA306E" w14:textId="77777777" w:rsidR="00182C8E" w:rsidRPr="00276ABD" w:rsidRDefault="00182C8E" w:rsidP="00276ABD">
      <w:pPr>
        <w:pStyle w:val="dLetterLettPara"/>
      </w:pPr>
      <w:r w:rsidRPr="00276ABD">
        <w:t xml:space="preserve">The Head of Paid </w:t>
      </w:r>
      <w:r w:rsidRPr="009B7DAF">
        <w:t>Service</w:t>
      </w:r>
      <w:r w:rsidR="000D0572" w:rsidRPr="009B7DAF">
        <w:t xml:space="preserve"> (Chief Executive),</w:t>
      </w:r>
      <w:r w:rsidRPr="009B7DAF">
        <w:t xml:space="preserve"> may</w:t>
      </w:r>
      <w:r w:rsidRPr="00276ABD">
        <w:t xml:space="preserve"> amend the senior management structure of the Council to deliver the Council’s objectives in the most effective and efficient manner, subject to the following conditions:</w:t>
      </w:r>
    </w:p>
    <w:p w14:paraId="64FA306F" w14:textId="77777777" w:rsidR="000D0572" w:rsidRPr="009B7DAF" w:rsidRDefault="000D0572" w:rsidP="009B7DAF">
      <w:pPr>
        <w:pStyle w:val="eRomanSubList"/>
      </w:pPr>
      <w:r w:rsidRPr="009B7DAF">
        <w:t>That the Chief Executive can make interim appointments, of up to twelve months in total, to the senior management structure in order to facilitate projects or to fill a skills gap;</w:t>
      </w:r>
    </w:p>
    <w:p w14:paraId="64FA3070" w14:textId="77777777" w:rsidR="000D0572" w:rsidRPr="009B7DAF" w:rsidRDefault="00182C8E" w:rsidP="009B7DAF">
      <w:pPr>
        <w:pStyle w:val="eRomanSubList"/>
      </w:pPr>
      <w:r w:rsidRPr="009626A8">
        <w:t xml:space="preserve">That the Chief Executive shall consult with all political group leaders prior to the implementation of any </w:t>
      </w:r>
      <w:r w:rsidRPr="009B7DAF">
        <w:t>changes</w:t>
      </w:r>
      <w:r w:rsidR="000D0572" w:rsidRPr="009B7DAF">
        <w:t xml:space="preserve"> to the senior management structure;</w:t>
      </w:r>
    </w:p>
    <w:p w14:paraId="64FA3071" w14:textId="77777777" w:rsidR="000D0572" w:rsidRPr="009B7DAF" w:rsidRDefault="000D0572" w:rsidP="009B7DAF">
      <w:pPr>
        <w:pStyle w:val="eRomanSubList"/>
      </w:pPr>
      <w:r w:rsidRPr="009B7DAF">
        <w:t xml:space="preserve">That the Chief Executive will report to the Appointments Committee </w:t>
      </w:r>
      <w:r w:rsidR="007D1E02">
        <w:t>within</w:t>
      </w:r>
      <w:r w:rsidRPr="009B7DAF">
        <w:t xml:space="preserve"> six months </w:t>
      </w:r>
      <w:r w:rsidR="007D1E02">
        <w:t xml:space="preserve">of any change to </w:t>
      </w:r>
      <w:r w:rsidRPr="009B7DAF">
        <w:t xml:space="preserve">the senior management arrangements </w:t>
      </w:r>
      <w:r w:rsidR="007D1E02">
        <w:t>being implemented by the Chief Executive</w:t>
      </w:r>
      <w:r w:rsidRPr="009B7DAF">
        <w:t>;</w:t>
      </w:r>
    </w:p>
    <w:p w14:paraId="64FA3072" w14:textId="77777777" w:rsidR="00182C8E" w:rsidRPr="00957CC2" w:rsidRDefault="00182C8E" w:rsidP="009626A8">
      <w:pPr>
        <w:pStyle w:val="eRomanSubList"/>
      </w:pPr>
      <w:r w:rsidRPr="00957CC2">
        <w:lastRenderedPageBreak/>
        <w:t>That the Chief Executive will maintain on the Council’s website an up to date senior management structure chart showing post titles and the broad functional responsibilities of each post</w:t>
      </w:r>
      <w:r w:rsidR="00957CC2" w:rsidRPr="00957CC2">
        <w:t>;</w:t>
      </w:r>
      <w:r w:rsidR="000D0572">
        <w:t xml:space="preserve"> </w:t>
      </w:r>
      <w:r w:rsidR="000D0572" w:rsidRPr="009B7DAF">
        <w:t>and</w:t>
      </w:r>
    </w:p>
    <w:p w14:paraId="64FA3073" w14:textId="77777777" w:rsidR="00182C8E" w:rsidRPr="00957CC2" w:rsidRDefault="00182C8E" w:rsidP="009626A8">
      <w:pPr>
        <w:pStyle w:val="eRomanSubList"/>
      </w:pPr>
      <w:r w:rsidRPr="00957CC2">
        <w:t xml:space="preserve">The references to the senior management structure throughout the Constitution shall be a reference to the structure chart published by the Chief Executive </w:t>
      </w:r>
      <w:r w:rsidRPr="009B7DAF">
        <w:t xml:space="preserve">under </w:t>
      </w:r>
      <w:r w:rsidR="000D0572" w:rsidRPr="009B7DAF">
        <w:t>9.1</w:t>
      </w:r>
      <w:r w:rsidR="000D0572" w:rsidRPr="000D0572">
        <w:rPr>
          <w:u w:val="single"/>
        </w:rPr>
        <w:t xml:space="preserve"> </w:t>
      </w:r>
      <w:r w:rsidRPr="00957CC2">
        <w:t>above.</w:t>
      </w:r>
    </w:p>
    <w:p w14:paraId="64FA3074" w14:textId="77777777" w:rsidR="00182C8E" w:rsidRPr="00276ABD" w:rsidRDefault="00182C8E" w:rsidP="00276ABD">
      <w:pPr>
        <w:pStyle w:val="dLetterLettPara"/>
      </w:pPr>
      <w:r w:rsidRPr="00276ABD">
        <w:t>The Head of Paid Service is authorised to take any urgent action necessary to protect the Council’s interests and assets where time is of the essence and it is impracticable to secure authority to act where such authority would otherwise be required.</w:t>
      </w:r>
    </w:p>
    <w:p w14:paraId="64FA3075" w14:textId="77777777" w:rsidR="00182C8E" w:rsidRDefault="00182C8E" w:rsidP="00276ABD">
      <w:pPr>
        <w:pStyle w:val="dLetterListPara"/>
      </w:pPr>
      <w:r w:rsidRPr="00276ABD">
        <w:t>The Head of Paid Service, in so acting, will be guided by budget and the policy framework, will consult the other Statutory Officers before acting and will report, in writing, as soon as practicable to the</w:t>
      </w:r>
      <w:r w:rsidR="00CF23A5">
        <w:t xml:space="preserve"> individual or</w:t>
      </w:r>
      <w:r w:rsidRPr="00276ABD">
        <w:t xml:space="preserve"> body which would otherwise have been required to give the necessary authority to act. </w:t>
      </w:r>
    </w:p>
    <w:p w14:paraId="64FA3076" w14:textId="77777777" w:rsidR="00CF23A5" w:rsidRDefault="00CF23A5" w:rsidP="00276ABD">
      <w:pPr>
        <w:pStyle w:val="dLetterListPara"/>
      </w:pPr>
      <w:r>
        <w:t>In exceptional circumstances, where the Chief Executive has a conflict of interest which would preclude them from making the decision, the Chief Executive may delegate the decision to an Executive Director. Where the decision is delegated, the Executive Director will consult the other Statutory Officers before acting and will report, in writing, as soon as practicable to the individual or body which would otherwise have been required to give the necessary authority to act.</w:t>
      </w:r>
    </w:p>
    <w:p w14:paraId="64FA3077" w14:textId="77777777" w:rsidR="007477BD" w:rsidRPr="003D1239" w:rsidRDefault="007477BD" w:rsidP="00276ABD">
      <w:pPr>
        <w:pStyle w:val="dLetterListPara"/>
      </w:pPr>
      <w:r w:rsidRPr="003D1239">
        <w:t>Key decision procedures and call in procedures (Parts 15 &amp; 17) will apply to any key decisions taken under this authorisation.</w:t>
      </w:r>
    </w:p>
    <w:p w14:paraId="64FA3078" w14:textId="77777777" w:rsidR="00F821A6" w:rsidRPr="003D1239" w:rsidRDefault="00F821A6" w:rsidP="009B7DAF">
      <w:pPr>
        <w:pStyle w:val="dLetterLettPara"/>
      </w:pPr>
      <w:r w:rsidRPr="003D1239">
        <w:t>The Head of Paid Service may authorise any emergency action required on any matter which shall include incurring expenditure, including those falling within the jurisdiction of a Committee or the Cabinet.</w:t>
      </w:r>
    </w:p>
    <w:p w14:paraId="64FA3079" w14:textId="77777777" w:rsidR="00F821A6" w:rsidRPr="003D1239" w:rsidRDefault="00F821A6" w:rsidP="009B7DAF">
      <w:pPr>
        <w:pStyle w:val="dLetterLettPara"/>
        <w:numPr>
          <w:ilvl w:val="0"/>
          <w:numId w:val="0"/>
        </w:numPr>
        <w:ind w:left="993"/>
      </w:pPr>
      <w:r w:rsidRPr="003D1239">
        <w:t>The Head of Paid Service, in so acting, will be guided by the budget and policy framework, will consult the other Statutory Officers before acting and will report, in writing, as soon as practicable to the body which would otherwise have been required to give the necessary authority to act.</w:t>
      </w:r>
    </w:p>
    <w:p w14:paraId="64FA307A" w14:textId="77777777" w:rsidR="007477BD" w:rsidRPr="003D1239" w:rsidRDefault="007477BD" w:rsidP="00EE1D92">
      <w:pPr>
        <w:pStyle w:val="dLetterLettPara"/>
        <w:numPr>
          <w:ilvl w:val="0"/>
          <w:numId w:val="0"/>
        </w:numPr>
        <w:ind w:left="993"/>
      </w:pPr>
      <w:r w:rsidRPr="003D1239">
        <w:t>Key decision procedures and call in procedures (Parts 15 &amp; 17) will apply to any key decisions taken under this authorisation.</w:t>
      </w:r>
    </w:p>
    <w:p w14:paraId="64FA307B" w14:textId="77777777" w:rsidR="00182C8E" w:rsidRPr="00182C8E" w:rsidRDefault="00182C8E" w:rsidP="00F821A6">
      <w:pPr>
        <w:pStyle w:val="dLetterLettPara"/>
      </w:pPr>
      <w:r w:rsidRPr="00182C8E">
        <w:t>The Head of Paid Service may discharge executive functions where there is no lead officer after consultation with the Leader or Deputy Leader of each political group</w:t>
      </w:r>
    </w:p>
    <w:p w14:paraId="64FA307C" w14:textId="77777777" w:rsidR="00182C8E" w:rsidRPr="00182C8E" w:rsidRDefault="00182C8E" w:rsidP="00276ABD">
      <w:pPr>
        <w:pStyle w:val="dLetterLettPara"/>
      </w:pPr>
      <w:r w:rsidRPr="00182C8E">
        <w:t>The Head of Paid Service must approve any staffing change which could give rise to a severance payment, early retirement, redundancy or a pay re-grading for an officer.</w:t>
      </w:r>
    </w:p>
    <w:p w14:paraId="64FA307D" w14:textId="77777777" w:rsidR="00F821A6" w:rsidRPr="00C51133" w:rsidRDefault="00182C8E" w:rsidP="00276ABD">
      <w:pPr>
        <w:pStyle w:val="dLetterLettPara"/>
      </w:pPr>
      <w:r w:rsidRPr="00182C8E">
        <w:t xml:space="preserve">The Head of Paid Service must approve any contracts other than a contract of </w:t>
      </w:r>
      <w:r w:rsidRPr="00C51133">
        <w:t>employment when an officer is appointed</w:t>
      </w:r>
    </w:p>
    <w:p w14:paraId="64FA307E" w14:textId="77777777" w:rsidR="00151598" w:rsidRDefault="00151598" w:rsidP="009B7DAF">
      <w:pPr>
        <w:pStyle w:val="dLetterLettPara"/>
      </w:pPr>
      <w:r w:rsidRPr="009B7DAF">
        <w:t>Decisions relating to salary packages for new posts added to the senior management structure where the salary pac</w:t>
      </w:r>
      <w:r w:rsidR="00B6176E" w:rsidRPr="009B7DAF">
        <w:t>kage per annum is above £100k are</w:t>
      </w:r>
      <w:r w:rsidRPr="009B7DAF">
        <w:t xml:space="preserve"> to be made subject to full Council approval. In addition, any severance arrangements agreed in line with the relevant policies that exceed £100k must be subject to full Council approval.</w:t>
      </w:r>
    </w:p>
    <w:p w14:paraId="64FA307F" w14:textId="77777777" w:rsidR="009E405D" w:rsidRDefault="007477BD" w:rsidP="003D1239">
      <w:pPr>
        <w:pStyle w:val="dLetterLettPara"/>
      </w:pPr>
      <w:r w:rsidRPr="003D1239">
        <w:lastRenderedPageBreak/>
        <w:t>The Chief Executive can authorise Council officers to carry out work for or on behalf of other local authorities when a delegation from a local authority has been accepted (Part 3.9). Any such authorisation should be recorded when given. The Chief Executive will report to the Appointments Committee if any authorisations are given to officers to carry out such work on behalf of another authority (Part 7.8(g)).</w:t>
      </w:r>
    </w:p>
    <w:p w14:paraId="64FA3080" w14:textId="77777777" w:rsidR="007D1E02" w:rsidRDefault="007D1E02" w:rsidP="007D1E02">
      <w:pPr>
        <w:pStyle w:val="dLetterLettPara"/>
      </w:pPr>
      <w:r w:rsidRPr="007D1E02">
        <w:t>In consultation with the Monitoring Officer, to consider applications from post holders in roles deemed to be politically “sensitive” who wish their post to be exempt from the Council’s list of Politically Restricted Posts”.</w:t>
      </w:r>
    </w:p>
    <w:p w14:paraId="64FA3081" w14:textId="77777777" w:rsidR="003D1239" w:rsidRPr="009B7DAF" w:rsidRDefault="003D1239" w:rsidP="003D1239">
      <w:pPr>
        <w:pStyle w:val="dLetterLettPara"/>
        <w:numPr>
          <w:ilvl w:val="0"/>
          <w:numId w:val="0"/>
        </w:numPr>
        <w:ind w:left="993"/>
      </w:pPr>
    </w:p>
    <w:p w14:paraId="64FA3082" w14:textId="77777777" w:rsidR="00182C8E" w:rsidRPr="00182C8E" w:rsidRDefault="00182C8E" w:rsidP="00276ABD">
      <w:pPr>
        <w:pStyle w:val="Heading2"/>
      </w:pPr>
      <w:bookmarkStart w:id="11" w:name="_Toc529963953"/>
      <w:bookmarkStart w:id="12" w:name="_Toc29821001"/>
      <w:r w:rsidRPr="00182C8E">
        <w:t>Role of Monitoring Officer</w:t>
      </w:r>
      <w:bookmarkEnd w:id="11"/>
      <w:bookmarkEnd w:id="12"/>
    </w:p>
    <w:p w14:paraId="64FA3083" w14:textId="77777777" w:rsidR="00182C8E" w:rsidRPr="00182C8E" w:rsidRDefault="00182C8E" w:rsidP="00F57D61">
      <w:pPr>
        <w:pStyle w:val="dLetterLettPara"/>
        <w:numPr>
          <w:ilvl w:val="0"/>
          <w:numId w:val="33"/>
        </w:numPr>
        <w:ind w:left="993" w:hanging="426"/>
      </w:pPr>
      <w:r w:rsidRPr="00182C8E">
        <w:t>Making sure Council decisions are lawful and fair</w:t>
      </w:r>
    </w:p>
    <w:p w14:paraId="64FA3084" w14:textId="77777777" w:rsidR="00182C8E" w:rsidRPr="00182C8E" w:rsidRDefault="00276ABD" w:rsidP="00276ABD">
      <w:pPr>
        <w:pStyle w:val="dLetterListPara"/>
      </w:pPr>
      <w:r>
        <w:t>If</w:t>
      </w:r>
      <w:r w:rsidR="00182C8E" w:rsidRPr="00182C8E">
        <w:t xml:space="preserve"> a proposal or decision would result in unlawful action or maladministration, the Monitoring Officer will consult the Head of Paid Service and Chief Finance Officer and report to Council (or the Cabinet for an executive responsibility).</w:t>
      </w:r>
    </w:p>
    <w:p w14:paraId="64FA3085" w14:textId="77777777" w:rsidR="00182C8E" w:rsidRPr="00182C8E" w:rsidRDefault="00182C8E" w:rsidP="00276ABD">
      <w:pPr>
        <w:pStyle w:val="dLetterListPara"/>
      </w:pPr>
      <w:r w:rsidRPr="00182C8E">
        <w:t>The proposal or decision will not be acted on until the report has been considered.</w:t>
      </w:r>
    </w:p>
    <w:p w14:paraId="64FA3086" w14:textId="77777777" w:rsidR="009B7DAF" w:rsidRPr="00182C8E" w:rsidRDefault="00182C8E" w:rsidP="009E405D">
      <w:pPr>
        <w:pStyle w:val="dLetterListPara"/>
      </w:pPr>
      <w:r w:rsidRPr="00182C8E">
        <w:t>If another body is also investigating a proposal or decision that could result in unlawful action or maladministration, the Monitoring Officer can delay reporting to Council or the Cabinet until that body has investigated.</w:t>
      </w:r>
    </w:p>
    <w:p w14:paraId="64FA3087" w14:textId="77777777" w:rsidR="00182C8E" w:rsidRPr="00182C8E" w:rsidRDefault="00182C8E" w:rsidP="00276ABD">
      <w:pPr>
        <w:pStyle w:val="dLetterLettPara"/>
      </w:pPr>
      <w:r w:rsidRPr="00182C8E">
        <w:t>Leading on ethical issues</w:t>
      </w:r>
    </w:p>
    <w:p w14:paraId="64FA3088" w14:textId="77777777" w:rsidR="00182C8E" w:rsidRPr="00182C8E" w:rsidRDefault="00276ABD" w:rsidP="00276ABD">
      <w:pPr>
        <w:pStyle w:val="dLetterListPara"/>
      </w:pPr>
      <w:r>
        <w:t>T</w:t>
      </w:r>
      <w:r w:rsidR="00182C8E" w:rsidRPr="00182C8E">
        <w:t>he Monitoring Officer will support the Standards Committee. This will include advising the Standards Committee on the need for training for councillors on ethical issues.</w:t>
      </w:r>
    </w:p>
    <w:p w14:paraId="64FA3089" w14:textId="77777777" w:rsidR="00182C8E" w:rsidRPr="00182C8E" w:rsidRDefault="00182C8E" w:rsidP="00276ABD">
      <w:pPr>
        <w:pStyle w:val="dLetterListPara"/>
      </w:pPr>
      <w:r w:rsidRPr="00182C8E">
        <w:t>The Monitoring Officer will meet regularly with the Head of Paid Service and the Chief Finance Officer to consider issues of governance and probity and will facilitate periodic meetings between the Chair of the Standards Committee, the Leader and the Head of Paid Service.</w:t>
      </w:r>
    </w:p>
    <w:p w14:paraId="64FA308A" w14:textId="77777777" w:rsidR="00182C8E" w:rsidRPr="00182C8E" w:rsidRDefault="00182C8E" w:rsidP="00276ABD">
      <w:pPr>
        <w:pStyle w:val="dLetterLettPara"/>
      </w:pPr>
      <w:r w:rsidRPr="00182C8E">
        <w:t>Carrying out investigations</w:t>
      </w:r>
    </w:p>
    <w:p w14:paraId="64FA308B" w14:textId="77777777" w:rsidR="00182C8E" w:rsidRPr="00182C8E" w:rsidRDefault="00182C8E" w:rsidP="00276ABD">
      <w:pPr>
        <w:pStyle w:val="dLetterListPara"/>
      </w:pPr>
      <w:r w:rsidRPr="00182C8E">
        <w:t>The Monitoring Officer may investigate</w:t>
      </w:r>
    </w:p>
    <w:p w14:paraId="64FA308C" w14:textId="77777777" w:rsidR="00182C8E" w:rsidRPr="00276ABD" w:rsidRDefault="00182C8E" w:rsidP="00276ABD">
      <w:pPr>
        <w:pStyle w:val="dBulletpoints"/>
      </w:pPr>
      <w:r w:rsidRPr="00276ABD">
        <w:t>issues of governance and maladministration</w:t>
      </w:r>
    </w:p>
    <w:p w14:paraId="64FA308D" w14:textId="77777777" w:rsidR="00182C8E" w:rsidRPr="00276ABD" w:rsidRDefault="00182C8E" w:rsidP="00276ABD">
      <w:pPr>
        <w:pStyle w:val="dBulletpoints"/>
      </w:pPr>
      <w:r w:rsidRPr="00276ABD">
        <w:t>complaints of breaches of the code of conduct for members</w:t>
      </w:r>
    </w:p>
    <w:p w14:paraId="64FA308E" w14:textId="77777777" w:rsidR="003124B0" w:rsidRPr="00164690" w:rsidRDefault="00182C8E" w:rsidP="009B7DAF">
      <w:pPr>
        <w:pStyle w:val="dBulletpoints"/>
      </w:pPr>
      <w:r w:rsidRPr="00276ABD">
        <w:t>questions</w:t>
      </w:r>
      <w:r w:rsidRPr="00164690">
        <w:t xml:space="preserve"> about the Council’s power to act.</w:t>
      </w:r>
    </w:p>
    <w:p w14:paraId="64FA308F" w14:textId="77777777" w:rsidR="00182C8E" w:rsidRPr="00182C8E" w:rsidRDefault="00182C8E" w:rsidP="00276ABD">
      <w:pPr>
        <w:pStyle w:val="dLetterLettPara"/>
      </w:pPr>
      <w:r w:rsidRPr="00182C8E">
        <w:t>Being proper officer for access to information</w:t>
      </w:r>
    </w:p>
    <w:p w14:paraId="64FA3090" w14:textId="77777777" w:rsidR="00182C8E" w:rsidRPr="00182C8E" w:rsidRDefault="00276ABD" w:rsidP="00276ABD">
      <w:pPr>
        <w:pStyle w:val="dLetterListPara"/>
      </w:pPr>
      <w:r>
        <w:t>T</w:t>
      </w:r>
      <w:r w:rsidR="00182C8E" w:rsidRPr="00182C8E">
        <w:t>he Monitoring Officer will be the proper officer for access to information. This will include making sure that the Council publishes Council, Cabinet, committee, and officer decisions as soon as possible, along with the reasons for the decisions and the officer reports</w:t>
      </w:r>
      <w:r w:rsidR="00164690">
        <w:t>.</w:t>
      </w:r>
    </w:p>
    <w:p w14:paraId="64FA3091" w14:textId="77777777" w:rsidR="00182C8E" w:rsidRPr="00182C8E" w:rsidRDefault="00182C8E" w:rsidP="00276ABD">
      <w:pPr>
        <w:pStyle w:val="dLetterLettPara"/>
      </w:pPr>
      <w:r w:rsidRPr="00182C8E">
        <w:t>Giving advice</w:t>
      </w:r>
    </w:p>
    <w:p w14:paraId="64FA3092" w14:textId="77777777" w:rsidR="00182C8E" w:rsidRPr="00182C8E" w:rsidRDefault="00182C8E" w:rsidP="00276ABD">
      <w:pPr>
        <w:pStyle w:val="dLetterListPara"/>
      </w:pPr>
      <w:r w:rsidRPr="00182C8E">
        <w:lastRenderedPageBreak/>
        <w:t>The Monitoring Officer will advise on the Council’s powers to take decisions, maladministration, ethics and governance and the budget and policy framework.</w:t>
      </w:r>
    </w:p>
    <w:p w14:paraId="64FA3093" w14:textId="77777777" w:rsidR="00182C8E" w:rsidRPr="00182C8E" w:rsidRDefault="00276ABD" w:rsidP="00276ABD">
      <w:pPr>
        <w:pStyle w:val="dLetterLettPara"/>
      </w:pPr>
      <w:r>
        <w:t>L</w:t>
      </w:r>
      <w:r w:rsidR="00182C8E" w:rsidRPr="00182C8E">
        <w:t>iaising within and outside the Council</w:t>
      </w:r>
    </w:p>
    <w:p w14:paraId="64FA3094" w14:textId="77777777" w:rsidR="00182C8E" w:rsidRPr="00182C8E" w:rsidRDefault="00182C8E" w:rsidP="00276ABD">
      <w:pPr>
        <w:pStyle w:val="dLetterListPara"/>
      </w:pPr>
      <w:r w:rsidRPr="00182C8E">
        <w:t>The Monitoring Officer will:</w:t>
      </w:r>
    </w:p>
    <w:p w14:paraId="64FA3095" w14:textId="77777777" w:rsidR="00182C8E" w:rsidRPr="00164690" w:rsidRDefault="00182C8E" w:rsidP="00276ABD">
      <w:pPr>
        <w:pStyle w:val="dBulletpoints"/>
      </w:pPr>
      <w:r w:rsidRPr="00164690">
        <w:t>Be a member of all management boards</w:t>
      </w:r>
    </w:p>
    <w:p w14:paraId="64FA3096" w14:textId="77777777" w:rsidR="00182C8E" w:rsidRPr="00164690" w:rsidRDefault="00182C8E" w:rsidP="00276ABD">
      <w:pPr>
        <w:pStyle w:val="dBulletpoints"/>
      </w:pPr>
      <w:r w:rsidRPr="00164690">
        <w:t>Keep close links with the Lord Mayor, the Leader, the Chair of the Standards Committee, the Head of Paid Service and the Chief Finance Officer</w:t>
      </w:r>
    </w:p>
    <w:p w14:paraId="64FA3097" w14:textId="77777777" w:rsidR="00182C8E" w:rsidRPr="00164690" w:rsidRDefault="00182C8E" w:rsidP="00276ABD">
      <w:pPr>
        <w:pStyle w:val="dBulletpoints"/>
      </w:pPr>
      <w:r w:rsidRPr="00164690">
        <w:t>Appoint a deputy and keep them briefed</w:t>
      </w:r>
    </w:p>
    <w:p w14:paraId="64FA3098" w14:textId="77777777" w:rsidR="00182C8E" w:rsidRPr="00164690" w:rsidRDefault="00182C8E" w:rsidP="00276ABD">
      <w:pPr>
        <w:pStyle w:val="dBulletpoints"/>
      </w:pPr>
      <w:r w:rsidRPr="00164690">
        <w:t>Keep in contact with the clerks of any parish councils in Oxford, the Council’s auditors and the ombudsman and may give them relevant information even if it is confidential.</w:t>
      </w:r>
    </w:p>
    <w:p w14:paraId="64FA3099" w14:textId="77777777" w:rsidR="00182C8E" w:rsidRPr="00182C8E" w:rsidRDefault="00182C8E" w:rsidP="00276ABD">
      <w:pPr>
        <w:pStyle w:val="dLetterLettPara"/>
      </w:pPr>
      <w:r w:rsidRPr="00182C8E">
        <w:t>Dispensations under the Localism Act 2011</w:t>
      </w:r>
    </w:p>
    <w:p w14:paraId="64FA309A" w14:textId="77777777" w:rsidR="00182C8E" w:rsidRDefault="00182C8E" w:rsidP="00276ABD">
      <w:pPr>
        <w:pStyle w:val="dLetterListPara"/>
      </w:pPr>
      <w:r w:rsidRPr="00182C8E">
        <w:t>The Monitoring Officer will consider applications for and grant dispensations to individual members under section 33 of the Localism Act 2011 to allow them to take part in a meeting from which they would otherwise be precluded</w:t>
      </w:r>
      <w:r w:rsidR="00164690">
        <w:t>.</w:t>
      </w:r>
      <w:r w:rsidRPr="00182C8E">
        <w:t xml:space="preserve"> </w:t>
      </w:r>
    </w:p>
    <w:p w14:paraId="64FA309B" w14:textId="77777777" w:rsidR="007477BD" w:rsidRPr="003D1239" w:rsidRDefault="007477BD" w:rsidP="00636D97">
      <w:pPr>
        <w:pStyle w:val="dLetterLettPara"/>
      </w:pPr>
      <w:r w:rsidRPr="003D1239">
        <w:t xml:space="preserve">Protection of Freedoms Act 2012 </w:t>
      </w:r>
    </w:p>
    <w:p w14:paraId="64FA309C" w14:textId="77777777" w:rsidR="007477BD" w:rsidRPr="003D1239" w:rsidRDefault="007477BD" w:rsidP="007477BD">
      <w:pPr>
        <w:pStyle w:val="dLetterLettPara"/>
        <w:numPr>
          <w:ilvl w:val="0"/>
          <w:numId w:val="0"/>
        </w:numPr>
        <w:ind w:left="993"/>
      </w:pPr>
      <w:r w:rsidRPr="003D1239">
        <w:t>The Monitoring Officer will perform the role of the Senior Responsible Officer for the Council.</w:t>
      </w:r>
    </w:p>
    <w:p w14:paraId="64FA309D" w14:textId="77777777" w:rsidR="00636D97" w:rsidRPr="003D1239" w:rsidRDefault="00636D97" w:rsidP="00636D97">
      <w:pPr>
        <w:pStyle w:val="dLetterLettPara"/>
      </w:pPr>
      <w:r w:rsidRPr="003D1239">
        <w:t>General Data Protection Regulation 2015 (EU 2016/679) and Data Protection Act 2018.</w:t>
      </w:r>
    </w:p>
    <w:p w14:paraId="64FA309E" w14:textId="77777777" w:rsidR="007477BD" w:rsidRDefault="00636D97" w:rsidP="003D1239">
      <w:pPr>
        <w:pStyle w:val="dLetterListPara"/>
      </w:pPr>
      <w:r w:rsidRPr="003D1239">
        <w:t>The Monitoring Officer will perform the role of Data Protection Officer for the Council.</w:t>
      </w:r>
    </w:p>
    <w:p w14:paraId="64FA309F" w14:textId="77777777" w:rsidR="003D1239" w:rsidRPr="003D1239" w:rsidRDefault="003D1239" w:rsidP="003D1239">
      <w:pPr>
        <w:pStyle w:val="dLetterListPara"/>
      </w:pPr>
    </w:p>
    <w:p w14:paraId="64FA30A0" w14:textId="77777777" w:rsidR="00182C8E" w:rsidRPr="00182C8E" w:rsidRDefault="00182C8E" w:rsidP="00276ABD">
      <w:pPr>
        <w:pStyle w:val="Heading2"/>
      </w:pPr>
      <w:bookmarkStart w:id="13" w:name="_Toc529963954"/>
      <w:bookmarkStart w:id="14" w:name="_Toc29821002"/>
      <w:r w:rsidRPr="00182C8E">
        <w:t>Monitoring Officer’s right to information</w:t>
      </w:r>
      <w:bookmarkEnd w:id="13"/>
      <w:bookmarkEnd w:id="14"/>
    </w:p>
    <w:p w14:paraId="64FA30A1" w14:textId="77777777" w:rsidR="00182C8E" w:rsidRPr="00182C8E" w:rsidRDefault="00182C8E" w:rsidP="00F57D61">
      <w:pPr>
        <w:pStyle w:val="dLetterLettPara"/>
        <w:numPr>
          <w:ilvl w:val="0"/>
          <w:numId w:val="34"/>
        </w:numPr>
        <w:ind w:left="993" w:hanging="426"/>
      </w:pPr>
      <w:r w:rsidRPr="00182C8E">
        <w:t>Information for investigations</w:t>
      </w:r>
    </w:p>
    <w:p w14:paraId="64FA30A2" w14:textId="77777777" w:rsidR="00182C8E" w:rsidRPr="00182C8E" w:rsidRDefault="00182C8E" w:rsidP="00276ABD">
      <w:pPr>
        <w:pStyle w:val="dLetterListPara"/>
      </w:pPr>
      <w:r w:rsidRPr="00182C8E">
        <w:t>In any investigation the Monitoring Officer will have unqualified access to information from the Council and its officers.</w:t>
      </w:r>
    </w:p>
    <w:p w14:paraId="64FA30A3" w14:textId="77777777" w:rsidR="00182C8E" w:rsidRPr="00182C8E" w:rsidRDefault="00182C8E" w:rsidP="00276ABD">
      <w:pPr>
        <w:pStyle w:val="dLetterLettPara"/>
      </w:pPr>
      <w:r w:rsidRPr="00182C8E">
        <w:t>Reports to councillors</w:t>
      </w:r>
    </w:p>
    <w:p w14:paraId="64FA30A4" w14:textId="77777777" w:rsidR="00182C8E" w:rsidRPr="00182C8E" w:rsidRDefault="00182C8E" w:rsidP="00276ABD">
      <w:pPr>
        <w:pStyle w:val="dLetterListPara"/>
      </w:pPr>
      <w:r w:rsidRPr="00182C8E">
        <w:t>The Monitoring Officer has the right to see all reports to councillors.</w:t>
      </w:r>
    </w:p>
    <w:p w14:paraId="64FA30A5" w14:textId="77777777" w:rsidR="00182C8E" w:rsidRPr="00276ABD" w:rsidRDefault="00182C8E" w:rsidP="00276ABD">
      <w:pPr>
        <w:pStyle w:val="dLetterLettPara"/>
      </w:pPr>
      <w:r w:rsidRPr="00276ABD">
        <w:t>Barristers’ opinions</w:t>
      </w:r>
    </w:p>
    <w:p w14:paraId="64FA30A6" w14:textId="77777777" w:rsidR="009E405D" w:rsidRDefault="00182C8E" w:rsidP="003D1239">
      <w:pPr>
        <w:pStyle w:val="dLetterListPara"/>
      </w:pPr>
      <w:r w:rsidRPr="00182C8E">
        <w:t>Monitoring Officer will have an adequate budget for getting barristers’ opinions.</w:t>
      </w:r>
    </w:p>
    <w:p w14:paraId="64FA30A7" w14:textId="77777777" w:rsidR="003D1239" w:rsidRPr="00182C8E" w:rsidRDefault="003D1239" w:rsidP="003D1239">
      <w:pPr>
        <w:pStyle w:val="dLetterListPara"/>
      </w:pPr>
    </w:p>
    <w:p w14:paraId="64FA30A8" w14:textId="77777777" w:rsidR="00182C8E" w:rsidRPr="00182C8E" w:rsidRDefault="00182C8E" w:rsidP="00276ABD">
      <w:pPr>
        <w:pStyle w:val="Heading2"/>
      </w:pPr>
      <w:bookmarkStart w:id="15" w:name="_Toc529963955"/>
      <w:bookmarkStart w:id="16" w:name="_Toc29821003"/>
      <w:r w:rsidRPr="00182C8E">
        <w:t>Role of Chief Finance Officer</w:t>
      </w:r>
      <w:bookmarkEnd w:id="15"/>
      <w:bookmarkEnd w:id="16"/>
    </w:p>
    <w:p w14:paraId="64FA30A9" w14:textId="77777777" w:rsidR="00182C8E" w:rsidRPr="00276ABD" w:rsidRDefault="00182C8E" w:rsidP="00F57D61">
      <w:pPr>
        <w:pStyle w:val="dLetterLettPara"/>
        <w:numPr>
          <w:ilvl w:val="0"/>
          <w:numId w:val="35"/>
        </w:numPr>
        <w:ind w:left="993" w:hanging="426"/>
      </w:pPr>
      <w:r w:rsidRPr="00276ABD">
        <w:t>Making sure decisions are lawful and financially sensible</w:t>
      </w:r>
    </w:p>
    <w:p w14:paraId="64FA30AA" w14:textId="77777777" w:rsidR="00182C8E" w:rsidRPr="00182C8E" w:rsidRDefault="00182C8E" w:rsidP="00276ABD">
      <w:pPr>
        <w:pStyle w:val="dLetterListPara"/>
      </w:pPr>
      <w:r w:rsidRPr="00182C8E">
        <w:lastRenderedPageBreak/>
        <w:t>If a proposal or decision would result in unlawful spending or a loss to the Council, or if the Council is about to enter an unlawful item of account, the Chief Finance Officer will consult the Head of Paid Service and the Monitoring Officer and report to the Council’s auditors and to Council (or the Cabinet if it is an executive responsibility).</w:t>
      </w:r>
    </w:p>
    <w:p w14:paraId="64FA30AB" w14:textId="77777777" w:rsidR="00182C8E" w:rsidRPr="00182C8E" w:rsidRDefault="00182C8E" w:rsidP="00276ABD">
      <w:pPr>
        <w:pStyle w:val="dLetterLettPara"/>
      </w:pPr>
      <w:r w:rsidRPr="00182C8E">
        <w:t>Managing the Council’s finances</w:t>
      </w:r>
    </w:p>
    <w:p w14:paraId="64FA30AC" w14:textId="77777777" w:rsidR="00182C8E" w:rsidRPr="00182C8E" w:rsidRDefault="00182C8E" w:rsidP="00276ABD">
      <w:pPr>
        <w:pStyle w:val="dLetterListPara"/>
      </w:pPr>
      <w:r w:rsidRPr="00182C8E">
        <w:t>The Chief Finance Officer will manage the Council’s finances.</w:t>
      </w:r>
    </w:p>
    <w:p w14:paraId="64FA30AD" w14:textId="77777777" w:rsidR="00182C8E" w:rsidRPr="00182C8E" w:rsidRDefault="00182C8E" w:rsidP="00276ABD">
      <w:pPr>
        <w:pStyle w:val="dLetterLettPara"/>
      </w:pPr>
      <w:r w:rsidRPr="00182C8E">
        <w:t>Contributing to the management of the Council as a whole</w:t>
      </w:r>
    </w:p>
    <w:p w14:paraId="64FA30AE" w14:textId="77777777" w:rsidR="00182C8E" w:rsidRPr="00276ABD" w:rsidRDefault="00182C8E" w:rsidP="00276ABD">
      <w:pPr>
        <w:pStyle w:val="dLetterListPara"/>
      </w:pPr>
      <w:r w:rsidRPr="00182C8E">
        <w:t>The Chief Finance Officer will contribute to the management of the Council as a whole, especially by giving financial advice.  The Chief Finance Officer will be a member of all management boards and has the right to see all reports to councillors.</w:t>
      </w:r>
    </w:p>
    <w:p w14:paraId="64FA30AF" w14:textId="77777777" w:rsidR="00182C8E" w:rsidRPr="00182C8E" w:rsidRDefault="00182C8E" w:rsidP="00276ABD">
      <w:pPr>
        <w:pStyle w:val="dLetterLettPara"/>
      </w:pPr>
      <w:r w:rsidRPr="00182C8E">
        <w:t>Giving advice</w:t>
      </w:r>
    </w:p>
    <w:p w14:paraId="64FA30B0" w14:textId="77777777" w:rsidR="00182C8E" w:rsidRPr="00276ABD" w:rsidRDefault="00182C8E" w:rsidP="00276ABD">
      <w:pPr>
        <w:pStyle w:val="dLetterListPara"/>
      </w:pPr>
      <w:r w:rsidRPr="00182C8E">
        <w:t>The Chief Finance Officer will advise on maladministration, probity, financial impropriety and the budget and policy framework.</w:t>
      </w:r>
    </w:p>
    <w:p w14:paraId="64FA30B1" w14:textId="77777777" w:rsidR="00182C8E" w:rsidRPr="00182C8E" w:rsidRDefault="00182C8E" w:rsidP="00276ABD">
      <w:pPr>
        <w:pStyle w:val="dLetterLettPara"/>
      </w:pPr>
      <w:r w:rsidRPr="00182C8E">
        <w:t>Giving financial information</w:t>
      </w:r>
    </w:p>
    <w:p w14:paraId="64FA30B2" w14:textId="77777777" w:rsidR="00182C8E" w:rsidRDefault="00182C8E" w:rsidP="00276ABD">
      <w:pPr>
        <w:pStyle w:val="dLetterListPara"/>
      </w:pPr>
      <w:r w:rsidRPr="00182C8E">
        <w:t>The Chief Finance Officer will make information about the Council’s finances available to the media and the public.</w:t>
      </w:r>
    </w:p>
    <w:p w14:paraId="64FA30B3" w14:textId="77777777" w:rsidR="009305A6" w:rsidRPr="009B7DAF" w:rsidRDefault="009305A6" w:rsidP="009B7DAF">
      <w:pPr>
        <w:pStyle w:val="dLetterLettPara"/>
      </w:pPr>
      <w:r w:rsidRPr="009B7DAF">
        <w:t>Carry forwards</w:t>
      </w:r>
    </w:p>
    <w:p w14:paraId="64FA30B4" w14:textId="77777777" w:rsidR="009305A6" w:rsidRPr="009B7DAF" w:rsidRDefault="009305A6" w:rsidP="009B7DAF">
      <w:pPr>
        <w:pStyle w:val="dLetterListPara"/>
      </w:pPr>
      <w:r w:rsidRPr="009B7DAF">
        <w:t>The Chief Finance Officer can approve single budgetary carry forwards up to £10,000</w:t>
      </w:r>
    </w:p>
    <w:p w14:paraId="64FA30B5" w14:textId="77777777" w:rsidR="00182C8E" w:rsidRPr="00276ABD" w:rsidRDefault="00182C8E" w:rsidP="00182C8E">
      <w:pPr>
        <w:pStyle w:val="Heading2"/>
      </w:pPr>
      <w:bookmarkStart w:id="17" w:name="_Toc529963956"/>
      <w:bookmarkStart w:id="18" w:name="_Toc29821004"/>
      <w:r w:rsidRPr="00182C8E">
        <w:t>Duty to give Monitoring and Chief Finance Officers the resources they need</w:t>
      </w:r>
      <w:bookmarkEnd w:id="17"/>
      <w:bookmarkEnd w:id="18"/>
    </w:p>
    <w:p w14:paraId="64FA30B6" w14:textId="77777777" w:rsidR="007D2537" w:rsidRPr="00276ABD" w:rsidRDefault="00182C8E" w:rsidP="00276ABD">
      <w:pPr>
        <w:pStyle w:val="dNormParatext"/>
        <w:rPr>
          <w:lang w:eastAsia="en-GB"/>
        </w:rPr>
      </w:pPr>
      <w:r w:rsidRPr="00182C8E">
        <w:t>The Council will give the Monitoring Officer and Chief Finance Officer the accommodation, officers and resources they believe they need to do their jobs.  The Monitoring Officer and Chief Finance Officer will report to Council when necessary on the accommodation, officers and resources they need.</w:t>
      </w:r>
    </w:p>
    <w:p w14:paraId="64FA30B7" w14:textId="77777777" w:rsidR="00182C8E" w:rsidRPr="00182C8E" w:rsidRDefault="00182C8E" w:rsidP="00276ABD">
      <w:pPr>
        <w:pStyle w:val="Heading2"/>
      </w:pPr>
      <w:bookmarkStart w:id="19" w:name="_Toc529963957"/>
      <w:bookmarkStart w:id="20" w:name="_Toc29821005"/>
      <w:r w:rsidRPr="00182C8E">
        <w:t>Duty to tell Monitoring and Chief Finance Officers about procedural, constitutional or vires issues</w:t>
      </w:r>
      <w:bookmarkEnd w:id="19"/>
      <w:bookmarkEnd w:id="20"/>
    </w:p>
    <w:p w14:paraId="64FA30B8" w14:textId="77777777" w:rsidR="00182C8E" w:rsidRPr="00182C8E" w:rsidRDefault="00182C8E" w:rsidP="00276ABD">
      <w:pPr>
        <w:pStyle w:val="dNormParatext"/>
      </w:pPr>
      <w:r w:rsidRPr="00182C8E">
        <w:t>Directors and heads of service must alert the Monitoring Officer and Chief Finance Officer to issues of co</w:t>
      </w:r>
      <w:r w:rsidR="00CF23A5">
        <w:t xml:space="preserve">ncern as soon as they come up. </w:t>
      </w:r>
      <w:r w:rsidRPr="00182C8E">
        <w:t>These will include legality, probity, vires and constitutional issues.</w:t>
      </w:r>
    </w:p>
    <w:p w14:paraId="64FA30B9" w14:textId="77777777" w:rsidR="00182C8E" w:rsidRPr="00182C8E" w:rsidRDefault="00182C8E" w:rsidP="00276ABD">
      <w:pPr>
        <w:pStyle w:val="dNormParatext"/>
      </w:pPr>
      <w:r w:rsidRPr="00182C8E">
        <w:t>If the finance or contract rules have been broken, or if decisions have been taken by people who are not allowed to take them, the Monitoring Officer and Chief Finance Officer must be told in writing.</w:t>
      </w:r>
    </w:p>
    <w:p w14:paraId="64FA30BA" w14:textId="77777777" w:rsidR="00182C8E" w:rsidRPr="00182C8E" w:rsidRDefault="00182C8E" w:rsidP="00276ABD">
      <w:pPr>
        <w:pStyle w:val="Heading2"/>
      </w:pPr>
      <w:bookmarkStart w:id="21" w:name="_Toc529963958"/>
      <w:bookmarkStart w:id="22" w:name="_Toc29821006"/>
      <w:r w:rsidRPr="00182C8E">
        <w:t>Restrictions on holding other posts</w:t>
      </w:r>
      <w:bookmarkEnd w:id="21"/>
      <w:bookmarkEnd w:id="22"/>
    </w:p>
    <w:p w14:paraId="64FA30BB" w14:textId="77777777" w:rsidR="00182C8E" w:rsidRPr="00182C8E" w:rsidRDefault="00182C8E" w:rsidP="00276ABD">
      <w:pPr>
        <w:pStyle w:val="dNormParatext"/>
      </w:pPr>
      <w:r w:rsidRPr="00182C8E">
        <w:t>The Monitoring Officer cannot be the same person as the Chief Finance Officer or Head of Paid Service.</w:t>
      </w:r>
    </w:p>
    <w:p w14:paraId="64FA30BC" w14:textId="77777777" w:rsidR="00182C8E" w:rsidRPr="00182C8E" w:rsidRDefault="00182C8E" w:rsidP="00276ABD">
      <w:pPr>
        <w:pStyle w:val="dNormParatext"/>
      </w:pPr>
      <w:r w:rsidRPr="00182C8E">
        <w:t>The Head of Paid Service and the Chief Finance Officer can be the same person but the Chief Finance Officer must be a qualified accountant.</w:t>
      </w:r>
    </w:p>
    <w:p w14:paraId="64FA30BD" w14:textId="77777777" w:rsidR="00044F0D" w:rsidRDefault="00044F0D" w:rsidP="00364B08"/>
    <w:sectPr w:rsidR="00044F0D" w:rsidSect="00175754">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30C0" w14:textId="77777777" w:rsidR="00BB4BAC" w:rsidRDefault="00BB4BAC" w:rsidP="004A6D2F">
      <w:r>
        <w:separator/>
      </w:r>
    </w:p>
  </w:endnote>
  <w:endnote w:type="continuationSeparator" w:id="0">
    <w:p w14:paraId="64FA30C1" w14:textId="77777777"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30C3" w14:textId="77777777" w:rsidR="00641712" w:rsidRDefault="00641712" w:rsidP="004A6D2F">
    <w:r>
      <w:t>Do not use a footer or page numbers.</w:t>
    </w:r>
  </w:p>
  <w:p w14:paraId="64FA30C4" w14:textId="77777777" w:rsidR="00641712" w:rsidRDefault="00641712" w:rsidP="004A6D2F"/>
  <w:p w14:paraId="64FA30C5"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30C6" w14:textId="77777777" w:rsidR="00175754" w:rsidRDefault="00175754" w:rsidP="00175754">
    <w:pPr>
      <w:rPr>
        <w:sz w:val="22"/>
        <w:szCs w:val="22"/>
      </w:rPr>
    </w:pPr>
  </w:p>
  <w:p w14:paraId="64FA30C7" w14:textId="77777777" w:rsidR="00175754" w:rsidRPr="00AE42D6" w:rsidRDefault="00175754" w:rsidP="00F57D61">
    <w:pPr>
      <w:pStyle w:val="Footer"/>
    </w:pPr>
    <w:r w:rsidRPr="00AE42D6">
      <w:t xml:space="preserve">Part </w:t>
    </w:r>
    <w:r w:rsidR="004667F8">
      <w:t>9</w:t>
    </w:r>
    <w:r w:rsidR="00EC08BE">
      <w:t xml:space="preserve"> </w:t>
    </w:r>
    <w:r w:rsidR="007D2537">
      <w:t>Roles of Officers</w:t>
    </w:r>
  </w:p>
  <w:p w14:paraId="64FA30C8" w14:textId="2894C8CB" w:rsidR="00175754" w:rsidRPr="00AE42D6" w:rsidRDefault="00DB4E1E" w:rsidP="00F57D61">
    <w:pPr>
      <w:pStyle w:val="Footer"/>
      <w:jc w:val="right"/>
    </w:pPr>
    <w: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30CA" w14:textId="77777777" w:rsidR="00175754" w:rsidRDefault="00175754">
    <w:r>
      <w:t>July 2019</w:t>
    </w:r>
  </w:p>
  <w:p w14:paraId="64FA30CB"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30BE" w14:textId="77777777" w:rsidR="00BB4BAC" w:rsidRDefault="00BB4BAC" w:rsidP="004A6D2F">
      <w:r>
        <w:separator/>
      </w:r>
    </w:p>
  </w:footnote>
  <w:footnote w:type="continuationSeparator" w:id="0">
    <w:p w14:paraId="64FA30BF" w14:textId="77777777" w:rsidR="00BB4BAC" w:rsidRDefault="00BB4BA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30C2" w14:textId="77777777" w:rsidR="00175754" w:rsidRPr="00F57D61" w:rsidRDefault="00175754" w:rsidP="00F57D61">
    <w:pPr>
      <w:pStyle w:val="Header"/>
    </w:pPr>
    <w:r w:rsidRPr="00F57D61">
      <w:t xml:space="preserve">Constitution - Oxford City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30C9"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0B54F6FE"/>
    <w:lvl w:ilvl="0" w:tplc="F252FA5E">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1387C1E"/>
    <w:multiLevelType w:val="hybridMultilevel"/>
    <w:tmpl w:val="E312B2B8"/>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471803"/>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2D1090"/>
    <w:multiLevelType w:val="hybridMultilevel"/>
    <w:tmpl w:val="3886CDD2"/>
    <w:lvl w:ilvl="0" w:tplc="87D68E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A74618"/>
    <w:multiLevelType w:val="hybridMultilevel"/>
    <w:tmpl w:val="94923F2C"/>
    <w:lvl w:ilvl="0" w:tplc="E3C21BF0">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673E0C"/>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6846C8"/>
    <w:multiLevelType w:val="multilevel"/>
    <w:tmpl w:val="2C26318E"/>
    <w:lvl w:ilvl="0">
      <w:start w:val="1"/>
      <w:numFmt w:val="decimal"/>
      <w:pStyle w:val="Heading2"/>
      <w:lvlText w:val="9.%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980FC5"/>
    <w:multiLevelType w:val="hybridMultilevel"/>
    <w:tmpl w:val="5B36B17E"/>
    <w:lvl w:ilvl="0" w:tplc="AFA25F0A">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690078"/>
    <w:multiLevelType w:val="hybridMultilevel"/>
    <w:tmpl w:val="3C90C38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1" w15:restartNumberingAfterBreak="0">
    <w:nsid w:val="235B0E89"/>
    <w:multiLevelType w:val="hybridMultilevel"/>
    <w:tmpl w:val="590CBC3E"/>
    <w:lvl w:ilvl="0" w:tplc="51244E8C">
      <w:start w:val="1"/>
      <w:numFmt w:val="lowerLetter"/>
      <w:pStyle w:val="dLetterLettPar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0F357F"/>
    <w:multiLevelType w:val="hybridMultilevel"/>
    <w:tmpl w:val="038442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6895D7C"/>
    <w:multiLevelType w:val="hybridMultilevel"/>
    <w:tmpl w:val="BFC4658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7F028E3"/>
    <w:multiLevelType w:val="hybridMultilevel"/>
    <w:tmpl w:val="6F76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26F4B"/>
    <w:multiLevelType w:val="hybridMultilevel"/>
    <w:tmpl w:val="CE401A1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436C4AB4"/>
    <w:multiLevelType w:val="multilevel"/>
    <w:tmpl w:val="43D6D2FA"/>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1D61C8"/>
    <w:multiLevelType w:val="hybridMultilevel"/>
    <w:tmpl w:val="E53EFB2C"/>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4DF62909"/>
    <w:multiLevelType w:val="hybridMultilevel"/>
    <w:tmpl w:val="44640FC2"/>
    <w:lvl w:ilvl="0" w:tplc="E08C1870">
      <w:start w:val="1"/>
      <w:numFmt w:val="lowerLetter"/>
      <w:pStyle w:val="Heading3"/>
      <w:lvlText w:val="(%1)"/>
      <w:lvlJc w:val="left"/>
      <w:pPr>
        <w:ind w:left="927"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9" w15:restartNumberingAfterBreak="0">
    <w:nsid w:val="531C1C33"/>
    <w:multiLevelType w:val="hybridMultilevel"/>
    <w:tmpl w:val="1036306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54FA5356"/>
    <w:multiLevelType w:val="hybridMultilevel"/>
    <w:tmpl w:val="F4D67A46"/>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60556012"/>
    <w:multiLevelType w:val="hybridMultilevel"/>
    <w:tmpl w:val="B6A692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605A34D9"/>
    <w:multiLevelType w:val="hybridMultilevel"/>
    <w:tmpl w:val="3D6A55B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3" w15:restartNumberingAfterBreak="0">
    <w:nsid w:val="6A9F2B3C"/>
    <w:multiLevelType w:val="multilevel"/>
    <w:tmpl w:val="4C5820D8"/>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AA7D9B"/>
    <w:multiLevelType w:val="hybridMultilevel"/>
    <w:tmpl w:val="E214A5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4CD1D3D"/>
    <w:multiLevelType w:val="hybridMultilevel"/>
    <w:tmpl w:val="5E3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00CEE"/>
    <w:multiLevelType w:val="hybridMultilevel"/>
    <w:tmpl w:val="D690F7AE"/>
    <w:lvl w:ilvl="0" w:tplc="608C6090">
      <w:start w:val="1"/>
      <w:numFmt w:val="bullet"/>
      <w:pStyle w:val="dBulletpoints"/>
      <w:lvlText w:val=""/>
      <w:lvlJc w:val="left"/>
      <w:pPr>
        <w:ind w:left="3217" w:hanging="360"/>
      </w:pPr>
      <w:rPr>
        <w:rFonts w:ascii="Symbol" w:hAnsi="Symbol" w:hint="default"/>
      </w:rPr>
    </w:lvl>
    <w:lvl w:ilvl="1" w:tplc="08090003">
      <w:start w:val="1"/>
      <w:numFmt w:val="bullet"/>
      <w:lvlText w:val="o"/>
      <w:lvlJc w:val="left"/>
      <w:pPr>
        <w:ind w:left="3937" w:hanging="360"/>
      </w:pPr>
      <w:rPr>
        <w:rFonts w:ascii="Courier New" w:hAnsi="Courier New" w:cs="Courier New" w:hint="default"/>
      </w:rPr>
    </w:lvl>
    <w:lvl w:ilvl="2" w:tplc="08090005" w:tentative="1">
      <w:start w:val="1"/>
      <w:numFmt w:val="bullet"/>
      <w:lvlText w:val=""/>
      <w:lvlJc w:val="left"/>
      <w:pPr>
        <w:ind w:left="4657" w:hanging="360"/>
      </w:pPr>
      <w:rPr>
        <w:rFonts w:ascii="Wingdings" w:hAnsi="Wingdings" w:hint="default"/>
      </w:rPr>
    </w:lvl>
    <w:lvl w:ilvl="3" w:tplc="08090001" w:tentative="1">
      <w:start w:val="1"/>
      <w:numFmt w:val="bullet"/>
      <w:lvlText w:val=""/>
      <w:lvlJc w:val="left"/>
      <w:pPr>
        <w:ind w:left="5377" w:hanging="360"/>
      </w:pPr>
      <w:rPr>
        <w:rFonts w:ascii="Symbol" w:hAnsi="Symbol" w:hint="default"/>
      </w:rPr>
    </w:lvl>
    <w:lvl w:ilvl="4" w:tplc="08090003" w:tentative="1">
      <w:start w:val="1"/>
      <w:numFmt w:val="bullet"/>
      <w:lvlText w:val="o"/>
      <w:lvlJc w:val="left"/>
      <w:pPr>
        <w:ind w:left="6097" w:hanging="360"/>
      </w:pPr>
      <w:rPr>
        <w:rFonts w:ascii="Courier New" w:hAnsi="Courier New" w:cs="Courier New" w:hint="default"/>
      </w:rPr>
    </w:lvl>
    <w:lvl w:ilvl="5" w:tplc="08090005" w:tentative="1">
      <w:start w:val="1"/>
      <w:numFmt w:val="bullet"/>
      <w:lvlText w:val=""/>
      <w:lvlJc w:val="left"/>
      <w:pPr>
        <w:ind w:left="6817" w:hanging="360"/>
      </w:pPr>
      <w:rPr>
        <w:rFonts w:ascii="Wingdings" w:hAnsi="Wingdings" w:hint="default"/>
      </w:rPr>
    </w:lvl>
    <w:lvl w:ilvl="6" w:tplc="08090001" w:tentative="1">
      <w:start w:val="1"/>
      <w:numFmt w:val="bullet"/>
      <w:lvlText w:val=""/>
      <w:lvlJc w:val="left"/>
      <w:pPr>
        <w:ind w:left="7537" w:hanging="360"/>
      </w:pPr>
      <w:rPr>
        <w:rFonts w:ascii="Symbol" w:hAnsi="Symbol" w:hint="default"/>
      </w:rPr>
    </w:lvl>
    <w:lvl w:ilvl="7" w:tplc="08090003" w:tentative="1">
      <w:start w:val="1"/>
      <w:numFmt w:val="bullet"/>
      <w:lvlText w:val="o"/>
      <w:lvlJc w:val="left"/>
      <w:pPr>
        <w:ind w:left="8257" w:hanging="360"/>
      </w:pPr>
      <w:rPr>
        <w:rFonts w:ascii="Courier New" w:hAnsi="Courier New" w:cs="Courier New" w:hint="default"/>
      </w:rPr>
    </w:lvl>
    <w:lvl w:ilvl="8" w:tplc="08090005" w:tentative="1">
      <w:start w:val="1"/>
      <w:numFmt w:val="bullet"/>
      <w:lvlText w:val=""/>
      <w:lvlJc w:val="left"/>
      <w:pPr>
        <w:ind w:left="8977" w:hanging="360"/>
      </w:pPr>
      <w:rPr>
        <w:rFonts w:ascii="Wingdings" w:hAnsi="Wingdings" w:hint="default"/>
      </w:rPr>
    </w:lvl>
  </w:abstractNum>
  <w:abstractNum w:abstractNumId="27" w15:restartNumberingAfterBreak="0">
    <w:nsid w:val="7C9820FD"/>
    <w:multiLevelType w:val="hybridMultilevel"/>
    <w:tmpl w:val="7D6C384E"/>
    <w:lvl w:ilvl="0" w:tplc="51DCBB5C">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8" w15:restartNumberingAfterBreak="0">
    <w:nsid w:val="7F01281F"/>
    <w:multiLevelType w:val="hybridMultilevel"/>
    <w:tmpl w:val="6980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950528">
    <w:abstractNumId w:val="4"/>
  </w:num>
  <w:num w:numId="2" w16cid:durableId="1140031204">
    <w:abstractNumId w:val="7"/>
  </w:num>
  <w:num w:numId="3" w16cid:durableId="1781954878">
    <w:abstractNumId w:val="9"/>
  </w:num>
  <w:num w:numId="4" w16cid:durableId="1864981117">
    <w:abstractNumId w:val="16"/>
  </w:num>
  <w:num w:numId="5" w16cid:durableId="1136027217">
    <w:abstractNumId w:val="23"/>
  </w:num>
  <w:num w:numId="6" w16cid:durableId="2120297315">
    <w:abstractNumId w:val="26"/>
  </w:num>
  <w:num w:numId="7" w16cid:durableId="319043370">
    <w:abstractNumId w:val="18"/>
  </w:num>
  <w:num w:numId="8" w16cid:durableId="848258762">
    <w:abstractNumId w:val="1"/>
  </w:num>
  <w:num w:numId="9" w16cid:durableId="858933842">
    <w:abstractNumId w:val="5"/>
  </w:num>
  <w:num w:numId="10" w16cid:durableId="2110738978">
    <w:abstractNumId w:val="12"/>
  </w:num>
  <w:num w:numId="11" w16cid:durableId="1403941432">
    <w:abstractNumId w:val="25"/>
  </w:num>
  <w:num w:numId="12" w16cid:durableId="300620966">
    <w:abstractNumId w:val="21"/>
  </w:num>
  <w:num w:numId="13" w16cid:durableId="1686519512">
    <w:abstractNumId w:val="20"/>
  </w:num>
  <w:num w:numId="14" w16cid:durableId="903836200">
    <w:abstractNumId w:val="22"/>
  </w:num>
  <w:num w:numId="15" w16cid:durableId="43793818">
    <w:abstractNumId w:val="24"/>
  </w:num>
  <w:num w:numId="16" w16cid:durableId="475340857">
    <w:abstractNumId w:val="13"/>
  </w:num>
  <w:num w:numId="17" w16cid:durableId="1480267174">
    <w:abstractNumId w:val="15"/>
  </w:num>
  <w:num w:numId="18" w16cid:durableId="2055738113">
    <w:abstractNumId w:val="10"/>
  </w:num>
  <w:num w:numId="19" w16cid:durableId="570965712">
    <w:abstractNumId w:val="17"/>
  </w:num>
  <w:num w:numId="20" w16cid:durableId="914238776">
    <w:abstractNumId w:val="27"/>
  </w:num>
  <w:num w:numId="21" w16cid:durableId="50201236">
    <w:abstractNumId w:val="14"/>
  </w:num>
  <w:num w:numId="22" w16cid:durableId="1363357730">
    <w:abstractNumId w:val="28"/>
  </w:num>
  <w:num w:numId="23" w16cid:durableId="1057506408">
    <w:abstractNumId w:val="19"/>
  </w:num>
  <w:num w:numId="24" w16cid:durableId="663241615">
    <w:abstractNumId w:val="26"/>
  </w:num>
  <w:num w:numId="25" w16cid:durableId="737898634">
    <w:abstractNumId w:val="11"/>
  </w:num>
  <w:num w:numId="26" w16cid:durableId="270552336">
    <w:abstractNumId w:val="6"/>
  </w:num>
  <w:num w:numId="27" w16cid:durableId="1773013459">
    <w:abstractNumId w:val="0"/>
  </w:num>
  <w:num w:numId="28" w16cid:durableId="2109081225">
    <w:abstractNumId w:val="8"/>
  </w:num>
  <w:num w:numId="29" w16cid:durableId="1558473732">
    <w:abstractNumId w:val="18"/>
  </w:num>
  <w:num w:numId="30" w16cid:durableId="1644389783">
    <w:abstractNumId w:val="2"/>
  </w:num>
  <w:num w:numId="31" w16cid:durableId="454249611">
    <w:abstractNumId w:val="3"/>
  </w:num>
  <w:num w:numId="32" w16cid:durableId="1171993673">
    <w:abstractNumId w:val="2"/>
  </w:num>
  <w:num w:numId="33" w16cid:durableId="1431781415">
    <w:abstractNumId w:val="11"/>
    <w:lvlOverride w:ilvl="0">
      <w:startOverride w:val="1"/>
    </w:lvlOverride>
  </w:num>
  <w:num w:numId="34" w16cid:durableId="1619146420">
    <w:abstractNumId w:val="11"/>
    <w:lvlOverride w:ilvl="0">
      <w:startOverride w:val="1"/>
    </w:lvlOverride>
  </w:num>
  <w:num w:numId="35" w16cid:durableId="702749304">
    <w:abstractNumId w:val="1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314D7"/>
    <w:rsid w:val="00044F0D"/>
    <w:rsid w:val="00045F8B"/>
    <w:rsid w:val="00046D2B"/>
    <w:rsid w:val="00056263"/>
    <w:rsid w:val="00064D8A"/>
    <w:rsid w:val="00064F82"/>
    <w:rsid w:val="00066510"/>
    <w:rsid w:val="000713D0"/>
    <w:rsid w:val="00077523"/>
    <w:rsid w:val="0009702C"/>
    <w:rsid w:val="000C089F"/>
    <w:rsid w:val="000C3928"/>
    <w:rsid w:val="000C5E8E"/>
    <w:rsid w:val="000D0572"/>
    <w:rsid w:val="000F4751"/>
    <w:rsid w:val="000F4992"/>
    <w:rsid w:val="001027AE"/>
    <w:rsid w:val="0010524C"/>
    <w:rsid w:val="00111FB1"/>
    <w:rsid w:val="00113418"/>
    <w:rsid w:val="00131B7B"/>
    <w:rsid w:val="00135555"/>
    <w:rsid w:val="001356F1"/>
    <w:rsid w:val="00136994"/>
    <w:rsid w:val="0014128E"/>
    <w:rsid w:val="00151598"/>
    <w:rsid w:val="00151888"/>
    <w:rsid w:val="0015604C"/>
    <w:rsid w:val="00164690"/>
    <w:rsid w:val="00170A2D"/>
    <w:rsid w:val="00175754"/>
    <w:rsid w:val="001808BC"/>
    <w:rsid w:val="00182B81"/>
    <w:rsid w:val="00182C8E"/>
    <w:rsid w:val="0018619D"/>
    <w:rsid w:val="00194099"/>
    <w:rsid w:val="001A011E"/>
    <w:rsid w:val="001A066A"/>
    <w:rsid w:val="001A13E6"/>
    <w:rsid w:val="001A5731"/>
    <w:rsid w:val="001B42C3"/>
    <w:rsid w:val="001C5D5E"/>
    <w:rsid w:val="001D678D"/>
    <w:rsid w:val="001E03F8"/>
    <w:rsid w:val="001E1678"/>
    <w:rsid w:val="001E3376"/>
    <w:rsid w:val="002069B3"/>
    <w:rsid w:val="00206CDA"/>
    <w:rsid w:val="002329CF"/>
    <w:rsid w:val="00232F5B"/>
    <w:rsid w:val="0023394B"/>
    <w:rsid w:val="00247C29"/>
    <w:rsid w:val="00260467"/>
    <w:rsid w:val="00263EA3"/>
    <w:rsid w:val="002702ED"/>
    <w:rsid w:val="00276ABD"/>
    <w:rsid w:val="00284F85"/>
    <w:rsid w:val="00290915"/>
    <w:rsid w:val="002A22E2"/>
    <w:rsid w:val="002C64F7"/>
    <w:rsid w:val="002F41F2"/>
    <w:rsid w:val="00301BF3"/>
    <w:rsid w:val="0030208D"/>
    <w:rsid w:val="003124B0"/>
    <w:rsid w:val="003175A9"/>
    <w:rsid w:val="00323418"/>
    <w:rsid w:val="003357BF"/>
    <w:rsid w:val="00340383"/>
    <w:rsid w:val="00364B08"/>
    <w:rsid w:val="00364FAD"/>
    <w:rsid w:val="0036738F"/>
    <w:rsid w:val="0036759C"/>
    <w:rsid w:val="00367AE5"/>
    <w:rsid w:val="00367D71"/>
    <w:rsid w:val="0038150A"/>
    <w:rsid w:val="00387FC7"/>
    <w:rsid w:val="003B1773"/>
    <w:rsid w:val="003B3B99"/>
    <w:rsid w:val="003B6E75"/>
    <w:rsid w:val="003B7DA1"/>
    <w:rsid w:val="003C078C"/>
    <w:rsid w:val="003C676E"/>
    <w:rsid w:val="003D0379"/>
    <w:rsid w:val="003D1239"/>
    <w:rsid w:val="003D2574"/>
    <w:rsid w:val="003D4C59"/>
    <w:rsid w:val="003F4267"/>
    <w:rsid w:val="00404032"/>
    <w:rsid w:val="0040736F"/>
    <w:rsid w:val="00412C1F"/>
    <w:rsid w:val="00421CB2"/>
    <w:rsid w:val="004268B9"/>
    <w:rsid w:val="00433B96"/>
    <w:rsid w:val="00441E43"/>
    <w:rsid w:val="004440F1"/>
    <w:rsid w:val="004456DD"/>
    <w:rsid w:val="00446CDF"/>
    <w:rsid w:val="004521B7"/>
    <w:rsid w:val="004532A7"/>
    <w:rsid w:val="00462AB5"/>
    <w:rsid w:val="00465EAF"/>
    <w:rsid w:val="004667F8"/>
    <w:rsid w:val="004738C5"/>
    <w:rsid w:val="00491046"/>
    <w:rsid w:val="004A2AC7"/>
    <w:rsid w:val="004A6D2F"/>
    <w:rsid w:val="004B460B"/>
    <w:rsid w:val="004C2887"/>
    <w:rsid w:val="004D2626"/>
    <w:rsid w:val="004D6E26"/>
    <w:rsid w:val="004D77D3"/>
    <w:rsid w:val="004E2959"/>
    <w:rsid w:val="004F10A1"/>
    <w:rsid w:val="004F20EF"/>
    <w:rsid w:val="0050321C"/>
    <w:rsid w:val="00507EBA"/>
    <w:rsid w:val="0054712D"/>
    <w:rsid w:val="00547EF6"/>
    <w:rsid w:val="005570B5"/>
    <w:rsid w:val="00567E18"/>
    <w:rsid w:val="00575F5F"/>
    <w:rsid w:val="00581805"/>
    <w:rsid w:val="00585F76"/>
    <w:rsid w:val="005A34E4"/>
    <w:rsid w:val="005B17F2"/>
    <w:rsid w:val="005B7FB0"/>
    <w:rsid w:val="005C35A5"/>
    <w:rsid w:val="005C577C"/>
    <w:rsid w:val="005D0621"/>
    <w:rsid w:val="005D1E27"/>
    <w:rsid w:val="005D2A3E"/>
    <w:rsid w:val="005E022E"/>
    <w:rsid w:val="005E5215"/>
    <w:rsid w:val="005F7F7E"/>
    <w:rsid w:val="00614693"/>
    <w:rsid w:val="00623C2F"/>
    <w:rsid w:val="00633578"/>
    <w:rsid w:val="00636D97"/>
    <w:rsid w:val="00637068"/>
    <w:rsid w:val="00641712"/>
    <w:rsid w:val="00643514"/>
    <w:rsid w:val="00650811"/>
    <w:rsid w:val="00661D3E"/>
    <w:rsid w:val="00663C70"/>
    <w:rsid w:val="006701DC"/>
    <w:rsid w:val="00692627"/>
    <w:rsid w:val="006969E7"/>
    <w:rsid w:val="006A2EE3"/>
    <w:rsid w:val="006A3643"/>
    <w:rsid w:val="006C2A29"/>
    <w:rsid w:val="006C64CF"/>
    <w:rsid w:val="006C7C3A"/>
    <w:rsid w:val="006D17B1"/>
    <w:rsid w:val="006D2A1C"/>
    <w:rsid w:val="006D4752"/>
    <w:rsid w:val="006D63FA"/>
    <w:rsid w:val="006D708A"/>
    <w:rsid w:val="006E14C1"/>
    <w:rsid w:val="006F0292"/>
    <w:rsid w:val="006F27FA"/>
    <w:rsid w:val="006F416B"/>
    <w:rsid w:val="006F519B"/>
    <w:rsid w:val="00703855"/>
    <w:rsid w:val="00713675"/>
    <w:rsid w:val="00715823"/>
    <w:rsid w:val="007315F5"/>
    <w:rsid w:val="00737B5F"/>
    <w:rsid w:val="00737B93"/>
    <w:rsid w:val="00745BF0"/>
    <w:rsid w:val="007477BD"/>
    <w:rsid w:val="007615FE"/>
    <w:rsid w:val="00764B69"/>
    <w:rsid w:val="0076655C"/>
    <w:rsid w:val="007742DC"/>
    <w:rsid w:val="00791437"/>
    <w:rsid w:val="00796FDB"/>
    <w:rsid w:val="007B0C2C"/>
    <w:rsid w:val="007B278E"/>
    <w:rsid w:val="007C5C23"/>
    <w:rsid w:val="007D1E02"/>
    <w:rsid w:val="007D2537"/>
    <w:rsid w:val="007E2A26"/>
    <w:rsid w:val="007E3A99"/>
    <w:rsid w:val="007F2348"/>
    <w:rsid w:val="00803F07"/>
    <w:rsid w:val="0080749A"/>
    <w:rsid w:val="00821FB8"/>
    <w:rsid w:val="00822ACD"/>
    <w:rsid w:val="00855C66"/>
    <w:rsid w:val="00871EE4"/>
    <w:rsid w:val="008A65BA"/>
    <w:rsid w:val="008B293F"/>
    <w:rsid w:val="008B5206"/>
    <w:rsid w:val="008B7371"/>
    <w:rsid w:val="008D3DDB"/>
    <w:rsid w:val="008F19EC"/>
    <w:rsid w:val="008F573F"/>
    <w:rsid w:val="009034EC"/>
    <w:rsid w:val="00927B2D"/>
    <w:rsid w:val="009305A6"/>
    <w:rsid w:val="0093067A"/>
    <w:rsid w:val="00930DC2"/>
    <w:rsid w:val="00941C60"/>
    <w:rsid w:val="00957CC2"/>
    <w:rsid w:val="009626A8"/>
    <w:rsid w:val="00966D42"/>
    <w:rsid w:val="00971689"/>
    <w:rsid w:val="00973E90"/>
    <w:rsid w:val="00975B07"/>
    <w:rsid w:val="00980B4A"/>
    <w:rsid w:val="009B08D3"/>
    <w:rsid w:val="009B7DAF"/>
    <w:rsid w:val="009E3D0A"/>
    <w:rsid w:val="009E405D"/>
    <w:rsid w:val="009E51FC"/>
    <w:rsid w:val="009F1D28"/>
    <w:rsid w:val="009F27DB"/>
    <w:rsid w:val="009F4A3A"/>
    <w:rsid w:val="009F7618"/>
    <w:rsid w:val="00A04D23"/>
    <w:rsid w:val="00A06766"/>
    <w:rsid w:val="00A13765"/>
    <w:rsid w:val="00A21B12"/>
    <w:rsid w:val="00A23F80"/>
    <w:rsid w:val="00A46E98"/>
    <w:rsid w:val="00A6352B"/>
    <w:rsid w:val="00A701B5"/>
    <w:rsid w:val="00A714BB"/>
    <w:rsid w:val="00A85908"/>
    <w:rsid w:val="00A92D8F"/>
    <w:rsid w:val="00AB2988"/>
    <w:rsid w:val="00AB7999"/>
    <w:rsid w:val="00AC7D47"/>
    <w:rsid w:val="00AD3292"/>
    <w:rsid w:val="00AE0616"/>
    <w:rsid w:val="00AE42D6"/>
    <w:rsid w:val="00AE782F"/>
    <w:rsid w:val="00AE7AF0"/>
    <w:rsid w:val="00B500CA"/>
    <w:rsid w:val="00B50BEC"/>
    <w:rsid w:val="00B6176E"/>
    <w:rsid w:val="00B86314"/>
    <w:rsid w:val="00BA1C2E"/>
    <w:rsid w:val="00BB4BAC"/>
    <w:rsid w:val="00BC200B"/>
    <w:rsid w:val="00BC4756"/>
    <w:rsid w:val="00BC5362"/>
    <w:rsid w:val="00BC69A4"/>
    <w:rsid w:val="00BE0680"/>
    <w:rsid w:val="00BE305F"/>
    <w:rsid w:val="00BE7BA3"/>
    <w:rsid w:val="00BF5682"/>
    <w:rsid w:val="00BF7B09"/>
    <w:rsid w:val="00C002C5"/>
    <w:rsid w:val="00C01C49"/>
    <w:rsid w:val="00C20A95"/>
    <w:rsid w:val="00C2692F"/>
    <w:rsid w:val="00C3207C"/>
    <w:rsid w:val="00C400E1"/>
    <w:rsid w:val="00C41187"/>
    <w:rsid w:val="00C51133"/>
    <w:rsid w:val="00C61418"/>
    <w:rsid w:val="00C63C31"/>
    <w:rsid w:val="00C67822"/>
    <w:rsid w:val="00C757A0"/>
    <w:rsid w:val="00C760DE"/>
    <w:rsid w:val="00C82630"/>
    <w:rsid w:val="00C85B4E"/>
    <w:rsid w:val="00C907F7"/>
    <w:rsid w:val="00C9438F"/>
    <w:rsid w:val="00CA1CEA"/>
    <w:rsid w:val="00CA2103"/>
    <w:rsid w:val="00CB6B99"/>
    <w:rsid w:val="00CE496B"/>
    <w:rsid w:val="00CE4C87"/>
    <w:rsid w:val="00CE544A"/>
    <w:rsid w:val="00CF23A5"/>
    <w:rsid w:val="00D11E1C"/>
    <w:rsid w:val="00D160B0"/>
    <w:rsid w:val="00D17F94"/>
    <w:rsid w:val="00D223FC"/>
    <w:rsid w:val="00D26D1E"/>
    <w:rsid w:val="00D2739C"/>
    <w:rsid w:val="00D474CF"/>
    <w:rsid w:val="00D5547E"/>
    <w:rsid w:val="00D869A1"/>
    <w:rsid w:val="00DA413F"/>
    <w:rsid w:val="00DA4584"/>
    <w:rsid w:val="00DA614B"/>
    <w:rsid w:val="00DB4E1E"/>
    <w:rsid w:val="00DC3060"/>
    <w:rsid w:val="00DE0FB2"/>
    <w:rsid w:val="00DF093E"/>
    <w:rsid w:val="00E01F42"/>
    <w:rsid w:val="00E206D6"/>
    <w:rsid w:val="00E3366E"/>
    <w:rsid w:val="00E47211"/>
    <w:rsid w:val="00E52086"/>
    <w:rsid w:val="00E543A6"/>
    <w:rsid w:val="00E60479"/>
    <w:rsid w:val="00E61D73"/>
    <w:rsid w:val="00E73684"/>
    <w:rsid w:val="00E818D6"/>
    <w:rsid w:val="00E87F7A"/>
    <w:rsid w:val="00E96BD7"/>
    <w:rsid w:val="00EA0DB1"/>
    <w:rsid w:val="00EA0EE9"/>
    <w:rsid w:val="00EC08BE"/>
    <w:rsid w:val="00ED52CA"/>
    <w:rsid w:val="00ED5860"/>
    <w:rsid w:val="00EE1D92"/>
    <w:rsid w:val="00EE35C9"/>
    <w:rsid w:val="00F05ECA"/>
    <w:rsid w:val="00F31DC0"/>
    <w:rsid w:val="00F3566E"/>
    <w:rsid w:val="00F375FB"/>
    <w:rsid w:val="00F41AC1"/>
    <w:rsid w:val="00F4367A"/>
    <w:rsid w:val="00F4457B"/>
    <w:rsid w:val="00F445B1"/>
    <w:rsid w:val="00F45CD4"/>
    <w:rsid w:val="00F57D61"/>
    <w:rsid w:val="00F65C22"/>
    <w:rsid w:val="00F66DCA"/>
    <w:rsid w:val="00F74F53"/>
    <w:rsid w:val="00F7606D"/>
    <w:rsid w:val="00F81670"/>
    <w:rsid w:val="00F82024"/>
    <w:rsid w:val="00F821A6"/>
    <w:rsid w:val="00F95BC9"/>
    <w:rsid w:val="00FA624C"/>
    <w:rsid w:val="00FB7CBB"/>
    <w:rsid w:val="00FD0FAC"/>
    <w:rsid w:val="00FD1DFA"/>
    <w:rsid w:val="00FD4966"/>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4FA305A"/>
  <w15:docId w15:val="{B03F1E64-9B68-4CFA-98F4-2419ED8C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ABD"/>
    <w:rPr>
      <w:color w:val="000000"/>
      <w:sz w:val="24"/>
      <w:szCs w:val="24"/>
    </w:rPr>
  </w:style>
  <w:style w:type="paragraph" w:styleId="Heading1">
    <w:name w:val="heading 1"/>
    <w:aliases w:val="aMainHeader"/>
    <w:basedOn w:val="Normal"/>
    <w:next w:val="Normal"/>
    <w:link w:val="Heading1Char"/>
    <w:qFormat/>
    <w:rsid w:val="00276ABD"/>
    <w:pPr>
      <w:ind w:left="567" w:hanging="709"/>
      <w:outlineLvl w:val="0"/>
    </w:pPr>
    <w:rPr>
      <w:b/>
      <w:color w:val="auto"/>
      <w:sz w:val="28"/>
      <w:szCs w:val="28"/>
      <w:lang w:eastAsia="en-US"/>
    </w:rPr>
  </w:style>
  <w:style w:type="paragraph" w:styleId="Heading2">
    <w:name w:val="heading 2"/>
    <w:aliases w:val="bHeader"/>
    <w:basedOn w:val="Normal"/>
    <w:next w:val="Normal"/>
    <w:qFormat/>
    <w:rsid w:val="00276ABD"/>
    <w:pPr>
      <w:numPr>
        <w:numId w:val="28"/>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276ABD"/>
    <w:pPr>
      <w:numPr>
        <w:numId w:val="29"/>
      </w:numPr>
      <w:tabs>
        <w:tab w:val="left" w:pos="993"/>
      </w:tabs>
      <w:spacing w:before="240" w:after="120"/>
      <w:ind w:left="993" w:hanging="426"/>
      <w:outlineLvl w:val="2"/>
    </w:pPr>
    <w:rPr>
      <w:color w:val="auto"/>
      <w:lang w:eastAsia="en-US"/>
    </w:rPr>
  </w:style>
  <w:style w:type="paragraph" w:styleId="Heading4">
    <w:name w:val="heading 4"/>
    <w:basedOn w:val="Normal"/>
    <w:next w:val="Normal"/>
    <w:link w:val="Heading4Char"/>
    <w:rsid w:val="00276A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76A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ABD"/>
    <w:rPr>
      <w:rFonts w:ascii="Tahoma" w:hAnsi="Tahoma" w:cs="Tahoma"/>
      <w:sz w:val="16"/>
      <w:szCs w:val="16"/>
    </w:rPr>
  </w:style>
  <w:style w:type="character" w:customStyle="1" w:styleId="BalloonTextChar">
    <w:name w:val="Balloon Text Char"/>
    <w:basedOn w:val="DefaultParagraphFont"/>
    <w:link w:val="BalloonText"/>
    <w:rsid w:val="00276ABD"/>
    <w:rPr>
      <w:rFonts w:ascii="Tahoma" w:hAnsi="Tahoma" w:cs="Tahoma"/>
      <w:color w:val="000000"/>
      <w:sz w:val="16"/>
      <w:szCs w:val="16"/>
    </w:rPr>
  </w:style>
  <w:style w:type="paragraph" w:styleId="Caption">
    <w:name w:val="caption"/>
    <w:aliases w:val="Figure/TableCaption"/>
    <w:basedOn w:val="Normal"/>
    <w:next w:val="Normal"/>
    <w:unhideWhenUsed/>
    <w:qFormat/>
    <w:rsid w:val="00276ABD"/>
    <w:pPr>
      <w:jc w:val="center"/>
    </w:pPr>
    <w:rPr>
      <w:b/>
    </w:rPr>
  </w:style>
  <w:style w:type="character" w:styleId="CommentReference">
    <w:name w:val="annotation reference"/>
    <w:rsid w:val="00276ABD"/>
    <w:rPr>
      <w:sz w:val="16"/>
      <w:szCs w:val="16"/>
    </w:rPr>
  </w:style>
  <w:style w:type="paragraph" w:styleId="CommentText">
    <w:name w:val="annotation text"/>
    <w:basedOn w:val="Normal"/>
    <w:link w:val="CommentTextChar"/>
    <w:rsid w:val="00276ABD"/>
    <w:rPr>
      <w:sz w:val="20"/>
      <w:szCs w:val="20"/>
    </w:rPr>
  </w:style>
  <w:style w:type="character" w:customStyle="1" w:styleId="CommentTextChar">
    <w:name w:val="Comment Text Char"/>
    <w:basedOn w:val="DefaultParagraphFont"/>
    <w:link w:val="CommentText"/>
    <w:rsid w:val="00276ABD"/>
    <w:rPr>
      <w:color w:val="000000"/>
    </w:rPr>
  </w:style>
  <w:style w:type="paragraph" w:styleId="CommentSubject">
    <w:name w:val="annotation subject"/>
    <w:basedOn w:val="CommentText"/>
    <w:next w:val="CommentText"/>
    <w:link w:val="CommentSubjectChar"/>
    <w:rsid w:val="00276ABD"/>
    <w:rPr>
      <w:b/>
      <w:bCs/>
    </w:rPr>
  </w:style>
  <w:style w:type="character" w:customStyle="1" w:styleId="CommentSubjectChar">
    <w:name w:val="Comment Subject Char"/>
    <w:basedOn w:val="CommentTextChar"/>
    <w:link w:val="CommentSubject"/>
    <w:rsid w:val="00276ABD"/>
    <w:rPr>
      <w:b/>
      <w:bCs/>
      <w:color w:val="000000"/>
    </w:rPr>
  </w:style>
  <w:style w:type="paragraph" w:customStyle="1" w:styleId="dBulletpoints">
    <w:name w:val="dBullet points"/>
    <w:basedOn w:val="Normal"/>
    <w:link w:val="dBulletpointsChar"/>
    <w:qFormat/>
    <w:rsid w:val="00276ABD"/>
    <w:pPr>
      <w:numPr>
        <w:numId w:val="24"/>
      </w:numPr>
      <w:spacing w:after="120"/>
      <w:ind w:left="1418" w:hanging="425"/>
    </w:pPr>
    <w:rPr>
      <w:color w:val="auto"/>
      <w:lang w:eastAsia="en-US"/>
    </w:rPr>
  </w:style>
  <w:style w:type="character" w:customStyle="1" w:styleId="dBulletpointsChar">
    <w:name w:val="dBullet points Char"/>
    <w:link w:val="dBulletpoints"/>
    <w:rsid w:val="00276ABD"/>
    <w:rPr>
      <w:sz w:val="24"/>
      <w:szCs w:val="24"/>
      <w:lang w:eastAsia="en-US"/>
    </w:rPr>
  </w:style>
  <w:style w:type="paragraph" w:customStyle="1" w:styleId="dLetterListPara">
    <w:name w:val="dLetterListPara"/>
    <w:basedOn w:val="Normal"/>
    <w:link w:val="dLetterListParaChar"/>
    <w:qFormat/>
    <w:rsid w:val="00276ABD"/>
    <w:pPr>
      <w:spacing w:after="120"/>
      <w:ind w:left="992"/>
    </w:pPr>
    <w:rPr>
      <w:color w:val="auto"/>
      <w:lang w:eastAsia="en-US"/>
    </w:rPr>
  </w:style>
  <w:style w:type="character" w:customStyle="1" w:styleId="dLetterListParaChar">
    <w:name w:val="dLetterListPara Char"/>
    <w:basedOn w:val="DefaultParagraphFont"/>
    <w:link w:val="dLetterListPara"/>
    <w:rsid w:val="00276ABD"/>
    <w:rPr>
      <w:sz w:val="24"/>
      <w:szCs w:val="24"/>
      <w:lang w:eastAsia="en-US"/>
    </w:rPr>
  </w:style>
  <w:style w:type="paragraph" w:customStyle="1" w:styleId="dLetterLettPara">
    <w:name w:val="dLetterLettPara"/>
    <w:basedOn w:val="dLetterListPara"/>
    <w:link w:val="dLetterLettParaChar"/>
    <w:qFormat/>
    <w:rsid w:val="00276ABD"/>
    <w:pPr>
      <w:numPr>
        <w:numId w:val="25"/>
      </w:numPr>
      <w:ind w:left="993" w:hanging="426"/>
    </w:pPr>
  </w:style>
  <w:style w:type="character" w:customStyle="1" w:styleId="dLetterLettParaChar">
    <w:name w:val="dLetterLettPara Char"/>
    <w:basedOn w:val="dLetterListParaChar"/>
    <w:link w:val="dLetterLettPara"/>
    <w:rsid w:val="00276ABD"/>
    <w:rPr>
      <w:sz w:val="24"/>
      <w:szCs w:val="24"/>
      <w:lang w:eastAsia="en-US"/>
    </w:rPr>
  </w:style>
  <w:style w:type="paragraph" w:customStyle="1" w:styleId="dNormParatext">
    <w:name w:val="dNormPara text"/>
    <w:basedOn w:val="Normal"/>
    <w:link w:val="dNormParatextChar"/>
    <w:qFormat/>
    <w:rsid w:val="00276ABD"/>
    <w:pPr>
      <w:spacing w:after="120"/>
      <w:ind w:left="567"/>
    </w:pPr>
    <w:rPr>
      <w:color w:val="auto"/>
      <w:lang w:eastAsia="en-US"/>
    </w:rPr>
  </w:style>
  <w:style w:type="character" w:customStyle="1" w:styleId="dNormParatextChar">
    <w:name w:val="dNormPara text Char"/>
    <w:link w:val="dNormParatext"/>
    <w:rsid w:val="00276ABD"/>
    <w:rPr>
      <w:sz w:val="24"/>
      <w:szCs w:val="24"/>
      <w:lang w:eastAsia="en-US"/>
    </w:rPr>
  </w:style>
  <w:style w:type="paragraph" w:styleId="Revision">
    <w:name w:val="Revision"/>
    <w:hidden/>
    <w:uiPriority w:val="99"/>
    <w:semiHidden/>
    <w:rsid w:val="009034EC"/>
    <w:pPr>
      <w:spacing w:after="120"/>
    </w:pPr>
    <w:rPr>
      <w:color w:val="000000"/>
      <w:sz w:val="24"/>
      <w:szCs w:val="24"/>
      <w:lang w:eastAsia="en-US"/>
    </w:rPr>
  </w:style>
  <w:style w:type="paragraph" w:customStyle="1" w:styleId="eBulletIndent">
    <w:name w:val="eBulletIndent"/>
    <w:basedOn w:val="dBulletpoints"/>
    <w:qFormat/>
    <w:rsid w:val="009626A8"/>
    <w:pPr>
      <w:numPr>
        <w:numId w:val="26"/>
      </w:numPr>
      <w:ind w:hanging="436"/>
    </w:pPr>
  </w:style>
  <w:style w:type="paragraph" w:customStyle="1" w:styleId="eRomanSubList">
    <w:name w:val="eRomanSubList"/>
    <w:basedOn w:val="dLetterListPara"/>
    <w:link w:val="eRomanSubListChar"/>
    <w:qFormat/>
    <w:rsid w:val="009626A8"/>
    <w:pPr>
      <w:numPr>
        <w:numId w:val="27"/>
      </w:numPr>
      <w:ind w:left="1843" w:hanging="425"/>
    </w:pPr>
  </w:style>
  <w:style w:type="character" w:customStyle="1" w:styleId="eRomanSubListChar">
    <w:name w:val="eRomanSubList Char"/>
    <w:link w:val="eRomanSubList"/>
    <w:rsid w:val="009626A8"/>
    <w:rPr>
      <w:sz w:val="24"/>
      <w:szCs w:val="24"/>
      <w:lang w:eastAsia="en-US"/>
    </w:rPr>
  </w:style>
  <w:style w:type="paragraph" w:styleId="Header">
    <w:name w:val="header"/>
    <w:aliases w:val="zzPageHeader"/>
    <w:basedOn w:val="Normal"/>
    <w:link w:val="HeaderChar"/>
    <w:uiPriority w:val="99"/>
    <w:qFormat/>
    <w:rsid w:val="00276ABD"/>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276ABD"/>
    <w:rPr>
      <w:color w:val="0000FF"/>
      <w:sz w:val="28"/>
      <w:szCs w:val="28"/>
    </w:rPr>
  </w:style>
  <w:style w:type="paragraph" w:styleId="Footer">
    <w:name w:val="footer"/>
    <w:aliases w:val="zzFooter"/>
    <w:basedOn w:val="Header"/>
    <w:link w:val="FooterChar"/>
    <w:uiPriority w:val="99"/>
    <w:qFormat/>
    <w:rsid w:val="00276ABD"/>
    <w:rPr>
      <w:sz w:val="22"/>
      <w:szCs w:val="22"/>
    </w:rPr>
  </w:style>
  <w:style w:type="character" w:customStyle="1" w:styleId="FooterChar">
    <w:name w:val="Footer Char"/>
    <w:aliases w:val="zzFooter Char"/>
    <w:basedOn w:val="DefaultParagraphFont"/>
    <w:link w:val="Footer"/>
    <w:uiPriority w:val="99"/>
    <w:rsid w:val="00276ABD"/>
    <w:rPr>
      <w:color w:val="0000FF"/>
      <w:sz w:val="22"/>
      <w:szCs w:val="22"/>
    </w:rPr>
  </w:style>
  <w:style w:type="character" w:styleId="FootnoteReference">
    <w:name w:val="footnote reference"/>
    <w:basedOn w:val="DefaultParagraphFont"/>
    <w:rsid w:val="00276ABD"/>
    <w:rPr>
      <w:vertAlign w:val="superscript"/>
    </w:rPr>
  </w:style>
  <w:style w:type="paragraph" w:styleId="FootnoteText">
    <w:name w:val="footnote text"/>
    <w:basedOn w:val="Normal"/>
    <w:link w:val="FootnoteTextChar"/>
    <w:qFormat/>
    <w:rsid w:val="00276ABD"/>
    <w:rPr>
      <w:i/>
      <w:color w:val="404040" w:themeColor="text1" w:themeTint="BF"/>
      <w:sz w:val="22"/>
      <w:szCs w:val="20"/>
    </w:rPr>
  </w:style>
  <w:style w:type="character" w:customStyle="1" w:styleId="FootnoteTextChar">
    <w:name w:val="Footnote Text Char"/>
    <w:basedOn w:val="DefaultParagraphFont"/>
    <w:link w:val="FootnoteText"/>
    <w:rsid w:val="00276ABD"/>
    <w:rPr>
      <w:i/>
      <w:color w:val="404040" w:themeColor="text1" w:themeTint="BF"/>
      <w:sz w:val="22"/>
    </w:rPr>
  </w:style>
  <w:style w:type="character" w:customStyle="1" w:styleId="Heading3Char">
    <w:name w:val="Heading 3 Char"/>
    <w:aliases w:val="cSectHeader Char"/>
    <w:basedOn w:val="DefaultParagraphFont"/>
    <w:link w:val="Heading3"/>
    <w:rsid w:val="00276ABD"/>
    <w:rPr>
      <w:sz w:val="24"/>
      <w:szCs w:val="24"/>
      <w:lang w:eastAsia="en-US"/>
    </w:rPr>
  </w:style>
  <w:style w:type="character" w:customStyle="1" w:styleId="Heading4Char">
    <w:name w:val="Heading 4 Char"/>
    <w:basedOn w:val="DefaultParagraphFont"/>
    <w:link w:val="Heading4"/>
    <w:rsid w:val="00276ABD"/>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276ABD"/>
    <w:rPr>
      <w:b/>
      <w:sz w:val="28"/>
      <w:szCs w:val="28"/>
      <w:lang w:eastAsia="en-US"/>
    </w:rPr>
  </w:style>
  <w:style w:type="character" w:styleId="Hyperlink">
    <w:name w:val="Hyperlink"/>
    <w:uiPriority w:val="99"/>
    <w:qFormat/>
    <w:rsid w:val="00276ABD"/>
    <w:rPr>
      <w:i/>
      <w:color w:val="0000FF"/>
      <w:u w:val="single"/>
    </w:rPr>
  </w:style>
  <w:style w:type="table" w:styleId="LightList-Accent2">
    <w:name w:val="Light List Accent 2"/>
    <w:basedOn w:val="TableNormal"/>
    <w:uiPriority w:val="61"/>
    <w:rsid w:val="00276ABD"/>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276ABD"/>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276AB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rsid w:val="00276ABD"/>
    <w:pPr>
      <w:numPr>
        <w:numId w:val="32"/>
      </w:numPr>
      <w:tabs>
        <w:tab w:val="left" w:pos="426"/>
      </w:tabs>
    </w:pPr>
  </w:style>
  <w:style w:type="character" w:customStyle="1" w:styleId="ListParagraphChar">
    <w:name w:val="List Paragraph Char"/>
    <w:link w:val="ListParagraph"/>
    <w:uiPriority w:val="34"/>
    <w:rsid w:val="00276ABD"/>
    <w:rPr>
      <w:color w:val="000000"/>
      <w:sz w:val="24"/>
      <w:szCs w:val="24"/>
    </w:rPr>
  </w:style>
  <w:style w:type="paragraph" w:styleId="NoSpacing">
    <w:name w:val="No Spacing"/>
    <w:uiPriority w:val="1"/>
    <w:rsid w:val="00276ABD"/>
    <w:pPr>
      <w:spacing w:after="120"/>
    </w:pPr>
    <w:rPr>
      <w:color w:val="000000"/>
      <w:sz w:val="24"/>
      <w:szCs w:val="24"/>
      <w:lang w:eastAsia="en-US"/>
    </w:rPr>
  </w:style>
  <w:style w:type="paragraph" w:styleId="NormalWeb">
    <w:name w:val="Normal (Web)"/>
    <w:basedOn w:val="Normal"/>
    <w:rsid w:val="00276ABD"/>
    <w:pPr>
      <w:spacing w:before="100" w:beforeAutospacing="1" w:after="100" w:afterAutospacing="1"/>
    </w:pPr>
    <w:rPr>
      <w:rFonts w:ascii="Arial Unicode MS" w:eastAsia="Arial Unicode MS" w:hAnsi="Arial Unicode MS" w:cs="Arial Unicode MS"/>
    </w:rPr>
  </w:style>
  <w:style w:type="character" w:styleId="PageNumber">
    <w:name w:val="page number"/>
    <w:rsid w:val="00276ABD"/>
    <w:rPr>
      <w:rFonts w:ascii="Arial" w:hAnsi="Arial"/>
      <w:sz w:val="18"/>
    </w:rPr>
  </w:style>
  <w:style w:type="paragraph" w:styleId="Quote">
    <w:name w:val="Quote"/>
    <w:basedOn w:val="Normal"/>
    <w:next w:val="Normal"/>
    <w:link w:val="QuoteChar"/>
    <w:uiPriority w:val="29"/>
    <w:qFormat/>
    <w:rsid w:val="00276ABD"/>
    <w:rPr>
      <w:i/>
    </w:rPr>
  </w:style>
  <w:style w:type="character" w:customStyle="1" w:styleId="QuoteChar">
    <w:name w:val="Quote Char"/>
    <w:link w:val="Quote"/>
    <w:uiPriority w:val="29"/>
    <w:rsid w:val="00276ABD"/>
    <w:rPr>
      <w:i/>
      <w:color w:val="000000"/>
      <w:sz w:val="24"/>
      <w:szCs w:val="24"/>
    </w:rPr>
  </w:style>
  <w:style w:type="numbering" w:customStyle="1" w:styleId="StyleBulletedSymbolsymbolLeft063cmHanging063cm">
    <w:name w:val="Style Bulleted Symbol (symbol) Left:  0.63 cm Hanging:  0.63 cm"/>
    <w:basedOn w:val="NoList"/>
    <w:rsid w:val="00276ABD"/>
    <w:pPr>
      <w:numPr>
        <w:numId w:val="31"/>
      </w:numPr>
    </w:pPr>
  </w:style>
  <w:style w:type="numbering" w:customStyle="1" w:styleId="StyleNumberedLeft0cmHanging075cm">
    <w:name w:val="Style Numbered Left:  0 cm Hanging:  0.75 cm"/>
    <w:basedOn w:val="NoList"/>
    <w:rsid w:val="00276ABD"/>
    <w:pPr>
      <w:numPr>
        <w:numId w:val="30"/>
      </w:numPr>
    </w:pPr>
  </w:style>
  <w:style w:type="table" w:styleId="Table3Deffects1">
    <w:name w:val="Table 3D effects 1"/>
    <w:basedOn w:val="TableNormal"/>
    <w:rsid w:val="00276ABD"/>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76ABD"/>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276ABD"/>
    <w:pPr>
      <w:numPr>
        <w:numId w:val="0"/>
      </w:numPr>
    </w:pPr>
    <w:rPr>
      <w:bCs w:val="0"/>
      <w:szCs w:val="20"/>
    </w:rPr>
  </w:style>
  <w:style w:type="table" w:styleId="TableGrid">
    <w:name w:val="Table Grid"/>
    <w:basedOn w:val="TableNormal"/>
    <w:rsid w:val="00276AB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276ABD"/>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276ABD"/>
    <w:pPr>
      <w:spacing w:before="120"/>
    </w:pPr>
    <w:rPr>
      <w:rFonts w:ascii="Cambria" w:hAnsi="Cambria"/>
      <w:b/>
      <w:bCs/>
    </w:rPr>
  </w:style>
  <w:style w:type="paragraph" w:styleId="TOC1">
    <w:name w:val="toc 1"/>
    <w:basedOn w:val="Normal"/>
    <w:next w:val="Normal"/>
    <w:autoRedefine/>
    <w:uiPriority w:val="39"/>
    <w:qFormat/>
    <w:rsid w:val="00276ABD"/>
    <w:pPr>
      <w:tabs>
        <w:tab w:val="right" w:leader="dot" w:pos="9016"/>
      </w:tabs>
      <w:spacing w:after="100"/>
      <w:ind w:left="1134" w:hanging="567"/>
    </w:pPr>
    <w:rPr>
      <w:noProof/>
      <w:color w:val="0000FF"/>
    </w:rPr>
  </w:style>
  <w:style w:type="character" w:styleId="Emphasis">
    <w:name w:val="Emphasis"/>
    <w:basedOn w:val="DefaultParagraphFont"/>
    <w:qFormat/>
    <w:rsid w:val="00F57D61"/>
    <w:rPr>
      <w:i/>
      <w:iCs/>
    </w:rPr>
  </w:style>
  <w:style w:type="paragraph" w:styleId="TOC2">
    <w:name w:val="toc 2"/>
    <w:basedOn w:val="Normal"/>
    <w:next w:val="Normal"/>
    <w:autoRedefine/>
    <w:uiPriority w:val="39"/>
    <w:rsid w:val="008B520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02107861">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075201540">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6284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84CB-4339-4825-BEF8-5A587D07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1772</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11222</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8</cp:revision>
  <cp:lastPrinted>2015-07-03T12:50:00Z</cp:lastPrinted>
  <dcterms:created xsi:type="dcterms:W3CDTF">2021-02-05T13:48:00Z</dcterms:created>
  <dcterms:modified xsi:type="dcterms:W3CDTF">2024-11-26T19:47:00Z</dcterms:modified>
</cp:coreProperties>
</file>