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B3AF" w14:textId="77777777" w:rsidR="00D173CD" w:rsidRPr="00C23769" w:rsidRDefault="00C23769" w:rsidP="00C23769">
      <w:pPr>
        <w:pStyle w:val="Heading1"/>
      </w:pPr>
      <w:bookmarkStart w:id="0" w:name="_Toc496701496"/>
      <w:bookmarkStart w:id="1" w:name="_Toc496702190"/>
      <w:bookmarkStart w:id="2" w:name="_Toc496702434"/>
      <w:bookmarkStart w:id="3" w:name="_Toc496702894"/>
      <w:bookmarkStart w:id="4" w:name="_Toc6322104"/>
      <w:bookmarkStart w:id="5" w:name="_Toc25150527"/>
      <w:bookmarkStart w:id="6" w:name="S2"/>
      <w:r w:rsidRPr="00C23769">
        <w:t>2.</w:t>
      </w:r>
      <w:r w:rsidRPr="00C23769">
        <w:tab/>
      </w:r>
      <w:r w:rsidR="00D173CD" w:rsidRPr="00C23769">
        <w:t>A</w:t>
      </w:r>
      <w:r w:rsidR="008C609C" w:rsidRPr="00C23769">
        <w:t xml:space="preserve">bout the </w:t>
      </w:r>
      <w:r w:rsidR="00D173CD" w:rsidRPr="00C23769">
        <w:t>C</w:t>
      </w:r>
      <w:bookmarkEnd w:id="0"/>
      <w:bookmarkEnd w:id="1"/>
      <w:bookmarkEnd w:id="2"/>
      <w:bookmarkEnd w:id="3"/>
      <w:bookmarkEnd w:id="4"/>
      <w:r w:rsidR="008C609C" w:rsidRPr="00C23769">
        <w:t>onstitution</w:t>
      </w:r>
      <w:bookmarkEnd w:id="5"/>
    </w:p>
    <w:p w14:paraId="2F22B3B0" w14:textId="77777777" w:rsidR="00D173CD" w:rsidRDefault="00D173CD" w:rsidP="00320138">
      <w:pPr>
        <w:tabs>
          <w:tab w:val="left" w:pos="1418"/>
          <w:tab w:val="right" w:leader="dot" w:pos="9016"/>
        </w:tabs>
        <w:spacing w:after="100"/>
        <w:rPr>
          <w:color w:val="auto"/>
          <w:lang w:eastAsia="en-US"/>
        </w:rPr>
      </w:pPr>
    </w:p>
    <w:p w14:paraId="2F22B3B1" w14:textId="77777777" w:rsidR="00320138" w:rsidRDefault="00320138">
      <w:pPr>
        <w:pStyle w:val="TOC2"/>
        <w:tabs>
          <w:tab w:val="left" w:pos="1134"/>
        </w:tabs>
        <w:rPr>
          <w:rFonts w:asciiTheme="minorHAnsi" w:eastAsiaTheme="minorEastAsia" w:hAnsiTheme="minorHAnsi" w:cstheme="minorBidi"/>
          <w:color w:val="auto"/>
          <w:sz w:val="22"/>
          <w:szCs w:val="22"/>
        </w:rPr>
      </w:pPr>
      <w:r>
        <w:rPr>
          <w:color w:val="auto"/>
          <w:lang w:eastAsia="en-US"/>
        </w:rPr>
        <w:fldChar w:fldCharType="begin"/>
      </w:r>
      <w:r>
        <w:rPr>
          <w:color w:val="auto"/>
          <w:lang w:eastAsia="en-US"/>
        </w:rPr>
        <w:instrText xml:space="preserve"> TOC \o "2-2" \n \h \z \u </w:instrText>
      </w:r>
      <w:r>
        <w:rPr>
          <w:color w:val="auto"/>
          <w:lang w:eastAsia="en-US"/>
        </w:rPr>
        <w:fldChar w:fldCharType="separate"/>
      </w:r>
      <w:hyperlink w:anchor="_Toc25150573" w:history="1">
        <w:r w:rsidRPr="00727BE4">
          <w:rPr>
            <w:rStyle w:val="Hyperlink"/>
          </w:rPr>
          <w:t>2.1</w:t>
        </w:r>
        <w:r>
          <w:rPr>
            <w:rFonts w:asciiTheme="minorHAnsi" w:eastAsiaTheme="minorEastAsia" w:hAnsiTheme="minorHAnsi" w:cstheme="minorBidi"/>
            <w:color w:val="auto"/>
            <w:sz w:val="22"/>
            <w:szCs w:val="22"/>
          </w:rPr>
          <w:tab/>
        </w:r>
        <w:r w:rsidRPr="00727BE4">
          <w:rPr>
            <w:rStyle w:val="Hyperlink"/>
          </w:rPr>
          <w:t>Status of this Constitution</w:t>
        </w:r>
      </w:hyperlink>
    </w:p>
    <w:p w14:paraId="2F22B3B2" w14:textId="77777777" w:rsidR="00320138" w:rsidRDefault="000F649E">
      <w:pPr>
        <w:pStyle w:val="TOC2"/>
        <w:tabs>
          <w:tab w:val="left" w:pos="1134"/>
        </w:tabs>
        <w:rPr>
          <w:rFonts w:asciiTheme="minorHAnsi" w:eastAsiaTheme="minorEastAsia" w:hAnsiTheme="minorHAnsi" w:cstheme="minorBidi"/>
          <w:color w:val="auto"/>
          <w:sz w:val="22"/>
          <w:szCs w:val="22"/>
        </w:rPr>
      </w:pPr>
      <w:hyperlink w:anchor="_Toc25150574" w:history="1">
        <w:r w:rsidR="00320138" w:rsidRPr="00727BE4">
          <w:rPr>
            <w:rStyle w:val="Hyperlink"/>
          </w:rPr>
          <w:t>2.2</w:t>
        </w:r>
        <w:r w:rsidR="00320138">
          <w:rPr>
            <w:rFonts w:asciiTheme="minorHAnsi" w:eastAsiaTheme="minorEastAsia" w:hAnsiTheme="minorHAnsi" w:cstheme="minorBidi"/>
            <w:color w:val="auto"/>
            <w:sz w:val="22"/>
            <w:szCs w:val="22"/>
          </w:rPr>
          <w:tab/>
        </w:r>
        <w:r w:rsidR="00320138" w:rsidRPr="00727BE4">
          <w:rPr>
            <w:rStyle w:val="Hyperlink"/>
          </w:rPr>
          <w:t>Interpreting the constitution</w:t>
        </w:r>
      </w:hyperlink>
    </w:p>
    <w:p w14:paraId="2F22B3B3" w14:textId="77777777" w:rsidR="00320138" w:rsidRDefault="000F649E">
      <w:pPr>
        <w:pStyle w:val="TOC2"/>
        <w:tabs>
          <w:tab w:val="left" w:pos="1134"/>
        </w:tabs>
        <w:rPr>
          <w:rFonts w:asciiTheme="minorHAnsi" w:eastAsiaTheme="minorEastAsia" w:hAnsiTheme="minorHAnsi" w:cstheme="minorBidi"/>
          <w:color w:val="auto"/>
          <w:sz w:val="22"/>
          <w:szCs w:val="22"/>
        </w:rPr>
      </w:pPr>
      <w:hyperlink w:anchor="_Toc25150575" w:history="1">
        <w:r w:rsidR="00320138" w:rsidRPr="00727BE4">
          <w:rPr>
            <w:rStyle w:val="Hyperlink"/>
          </w:rPr>
          <w:t>2.3</w:t>
        </w:r>
        <w:r w:rsidR="00320138">
          <w:rPr>
            <w:rFonts w:asciiTheme="minorHAnsi" w:eastAsiaTheme="minorEastAsia" w:hAnsiTheme="minorHAnsi" w:cstheme="minorBidi"/>
            <w:color w:val="auto"/>
            <w:sz w:val="22"/>
            <w:szCs w:val="22"/>
          </w:rPr>
          <w:tab/>
        </w:r>
        <w:r w:rsidR="00320138" w:rsidRPr="00727BE4">
          <w:rPr>
            <w:rStyle w:val="Hyperlink"/>
          </w:rPr>
          <w:t>Purpose of the Constitution</w:t>
        </w:r>
      </w:hyperlink>
    </w:p>
    <w:p w14:paraId="2F22B3B4" w14:textId="77777777" w:rsidR="00320138" w:rsidRDefault="000F649E">
      <w:pPr>
        <w:pStyle w:val="TOC2"/>
        <w:tabs>
          <w:tab w:val="left" w:pos="1134"/>
        </w:tabs>
        <w:rPr>
          <w:rFonts w:asciiTheme="minorHAnsi" w:eastAsiaTheme="minorEastAsia" w:hAnsiTheme="minorHAnsi" w:cstheme="minorBidi"/>
          <w:color w:val="auto"/>
          <w:sz w:val="22"/>
          <w:szCs w:val="22"/>
        </w:rPr>
      </w:pPr>
      <w:hyperlink w:anchor="_Toc25150576" w:history="1">
        <w:r w:rsidR="00320138" w:rsidRPr="00727BE4">
          <w:rPr>
            <w:rStyle w:val="Hyperlink"/>
          </w:rPr>
          <w:t>2.4</w:t>
        </w:r>
        <w:r w:rsidR="00320138">
          <w:rPr>
            <w:rFonts w:asciiTheme="minorHAnsi" w:eastAsiaTheme="minorEastAsia" w:hAnsiTheme="minorHAnsi" w:cstheme="minorBidi"/>
            <w:color w:val="auto"/>
            <w:sz w:val="22"/>
            <w:szCs w:val="22"/>
          </w:rPr>
          <w:tab/>
        </w:r>
        <w:r w:rsidR="00320138" w:rsidRPr="00727BE4">
          <w:rPr>
            <w:rStyle w:val="Hyperlink"/>
          </w:rPr>
          <w:t>Monitoring and reviewing the Constitution</w:t>
        </w:r>
      </w:hyperlink>
    </w:p>
    <w:p w14:paraId="2F22B3B5" w14:textId="77777777" w:rsidR="00320138" w:rsidRDefault="000F649E">
      <w:pPr>
        <w:pStyle w:val="TOC2"/>
        <w:tabs>
          <w:tab w:val="left" w:pos="1134"/>
        </w:tabs>
        <w:rPr>
          <w:rFonts w:asciiTheme="minorHAnsi" w:eastAsiaTheme="minorEastAsia" w:hAnsiTheme="minorHAnsi" w:cstheme="minorBidi"/>
          <w:color w:val="auto"/>
          <w:sz w:val="22"/>
          <w:szCs w:val="22"/>
        </w:rPr>
      </w:pPr>
      <w:hyperlink w:anchor="_Toc25150577" w:history="1">
        <w:r w:rsidR="00320138" w:rsidRPr="00727BE4">
          <w:rPr>
            <w:rStyle w:val="Hyperlink"/>
          </w:rPr>
          <w:t>2.5</w:t>
        </w:r>
        <w:r w:rsidR="00320138">
          <w:rPr>
            <w:rFonts w:asciiTheme="minorHAnsi" w:eastAsiaTheme="minorEastAsia" w:hAnsiTheme="minorHAnsi" w:cstheme="minorBidi"/>
            <w:color w:val="auto"/>
            <w:sz w:val="22"/>
            <w:szCs w:val="22"/>
          </w:rPr>
          <w:tab/>
        </w:r>
        <w:r w:rsidR="00320138" w:rsidRPr="00727BE4">
          <w:rPr>
            <w:rStyle w:val="Hyperlink"/>
          </w:rPr>
          <w:t>Changing the Constitution</w:t>
        </w:r>
      </w:hyperlink>
    </w:p>
    <w:p w14:paraId="2F22B3B6" w14:textId="77777777" w:rsidR="00320138" w:rsidRDefault="000F649E">
      <w:pPr>
        <w:pStyle w:val="TOC2"/>
        <w:tabs>
          <w:tab w:val="left" w:pos="1134"/>
        </w:tabs>
        <w:rPr>
          <w:rFonts w:asciiTheme="minorHAnsi" w:eastAsiaTheme="minorEastAsia" w:hAnsiTheme="minorHAnsi" w:cstheme="minorBidi"/>
          <w:color w:val="auto"/>
          <w:sz w:val="22"/>
          <w:szCs w:val="22"/>
        </w:rPr>
      </w:pPr>
      <w:hyperlink w:anchor="_Toc25150578" w:history="1">
        <w:r w:rsidR="00320138" w:rsidRPr="00727BE4">
          <w:rPr>
            <w:rStyle w:val="Hyperlink"/>
          </w:rPr>
          <w:t>2.6</w:t>
        </w:r>
        <w:r w:rsidR="00320138">
          <w:rPr>
            <w:rFonts w:asciiTheme="minorHAnsi" w:eastAsiaTheme="minorEastAsia" w:hAnsiTheme="minorHAnsi" w:cstheme="minorBidi"/>
            <w:color w:val="auto"/>
            <w:sz w:val="22"/>
            <w:szCs w:val="22"/>
          </w:rPr>
          <w:tab/>
        </w:r>
        <w:r w:rsidR="00320138" w:rsidRPr="00727BE4">
          <w:rPr>
            <w:rStyle w:val="Hyperlink"/>
          </w:rPr>
          <w:t>Changing governance arrangements</w:t>
        </w:r>
      </w:hyperlink>
    </w:p>
    <w:p w14:paraId="2F22B3B7" w14:textId="77777777" w:rsidR="00320138" w:rsidRDefault="000F649E">
      <w:pPr>
        <w:pStyle w:val="TOC2"/>
        <w:tabs>
          <w:tab w:val="left" w:pos="1134"/>
        </w:tabs>
        <w:rPr>
          <w:rFonts w:asciiTheme="minorHAnsi" w:eastAsiaTheme="minorEastAsia" w:hAnsiTheme="minorHAnsi" w:cstheme="minorBidi"/>
          <w:color w:val="auto"/>
          <w:sz w:val="22"/>
          <w:szCs w:val="22"/>
        </w:rPr>
      </w:pPr>
      <w:hyperlink w:anchor="_Toc25150579" w:history="1">
        <w:r w:rsidR="00320138" w:rsidRPr="00727BE4">
          <w:rPr>
            <w:rStyle w:val="Hyperlink"/>
          </w:rPr>
          <w:t>2.7</w:t>
        </w:r>
        <w:r w:rsidR="00320138">
          <w:rPr>
            <w:rFonts w:asciiTheme="minorHAnsi" w:eastAsiaTheme="minorEastAsia" w:hAnsiTheme="minorHAnsi" w:cstheme="minorBidi"/>
            <w:color w:val="auto"/>
            <w:sz w:val="22"/>
            <w:szCs w:val="22"/>
          </w:rPr>
          <w:tab/>
        </w:r>
        <w:r w:rsidR="00320138" w:rsidRPr="00727BE4">
          <w:rPr>
            <w:rStyle w:val="Hyperlink"/>
          </w:rPr>
          <w:t>Suspending the Constitution</w:t>
        </w:r>
      </w:hyperlink>
    </w:p>
    <w:p w14:paraId="2F22B3B8" w14:textId="77777777" w:rsidR="00320138" w:rsidRDefault="000F649E">
      <w:pPr>
        <w:pStyle w:val="TOC2"/>
        <w:tabs>
          <w:tab w:val="left" w:pos="1134"/>
        </w:tabs>
        <w:rPr>
          <w:rFonts w:asciiTheme="minorHAnsi" w:eastAsiaTheme="minorEastAsia" w:hAnsiTheme="minorHAnsi" w:cstheme="minorBidi"/>
          <w:color w:val="auto"/>
          <w:sz w:val="22"/>
          <w:szCs w:val="22"/>
        </w:rPr>
      </w:pPr>
      <w:hyperlink w:anchor="_Toc25150580" w:history="1">
        <w:r w:rsidR="00320138" w:rsidRPr="00727BE4">
          <w:rPr>
            <w:rStyle w:val="Hyperlink"/>
          </w:rPr>
          <w:t>2.8</w:t>
        </w:r>
        <w:r w:rsidR="00320138">
          <w:rPr>
            <w:rFonts w:asciiTheme="minorHAnsi" w:eastAsiaTheme="minorEastAsia" w:hAnsiTheme="minorHAnsi" w:cstheme="minorBidi"/>
            <w:color w:val="auto"/>
            <w:sz w:val="22"/>
            <w:szCs w:val="22"/>
          </w:rPr>
          <w:tab/>
        </w:r>
        <w:r w:rsidR="00320138" w:rsidRPr="00727BE4">
          <w:rPr>
            <w:rStyle w:val="Hyperlink"/>
          </w:rPr>
          <w:t>Publishing the Constitution</w:t>
        </w:r>
      </w:hyperlink>
    </w:p>
    <w:p w14:paraId="2F22B3B9" w14:textId="77777777" w:rsidR="00320138" w:rsidRPr="00D173CD" w:rsidRDefault="00320138" w:rsidP="00320138">
      <w:pPr>
        <w:tabs>
          <w:tab w:val="left" w:pos="1418"/>
          <w:tab w:val="right" w:leader="dot" w:pos="9016"/>
        </w:tabs>
        <w:spacing w:after="100"/>
        <w:ind w:left="1418" w:hanging="851"/>
        <w:rPr>
          <w:color w:val="auto"/>
          <w:lang w:eastAsia="en-US"/>
        </w:rPr>
      </w:pPr>
      <w:r>
        <w:rPr>
          <w:color w:val="auto"/>
          <w:lang w:eastAsia="en-US"/>
        </w:rPr>
        <w:fldChar w:fldCharType="end"/>
      </w:r>
    </w:p>
    <w:p w14:paraId="2F22B3BA" w14:textId="77777777" w:rsidR="00D173CD" w:rsidRPr="00741EC5" w:rsidRDefault="00D173CD" w:rsidP="00741EC5">
      <w:pPr>
        <w:pStyle w:val="Heading2"/>
      </w:pPr>
      <w:bookmarkStart w:id="7" w:name="_Toc496609486"/>
      <w:bookmarkStart w:id="8" w:name="_Toc529962871"/>
      <w:bookmarkStart w:id="9" w:name="_Toc25150528"/>
      <w:bookmarkStart w:id="10" w:name="_Toc25150573"/>
      <w:r w:rsidRPr="00741EC5">
        <w:t xml:space="preserve">Status of this </w:t>
      </w:r>
      <w:r w:rsidR="008C609C" w:rsidRPr="00741EC5">
        <w:t>C</w:t>
      </w:r>
      <w:r w:rsidRPr="00741EC5">
        <w:t>onstitution</w:t>
      </w:r>
      <w:bookmarkEnd w:id="7"/>
      <w:bookmarkEnd w:id="8"/>
      <w:bookmarkEnd w:id="9"/>
      <w:bookmarkEnd w:id="10"/>
    </w:p>
    <w:p w14:paraId="2F22B3BB" w14:textId="77777777" w:rsidR="00D173CD" w:rsidRPr="00D173CD" w:rsidRDefault="00D173CD" w:rsidP="00741EC5">
      <w:pPr>
        <w:pStyle w:val="dNormParatext"/>
      </w:pPr>
      <w:r w:rsidRPr="00D173CD">
        <w:t>The Council will follow this Constitution unless it conflicts with the law.</w:t>
      </w:r>
    </w:p>
    <w:p w14:paraId="2F22B3BC" w14:textId="77777777" w:rsidR="00D173CD" w:rsidRPr="00D173CD" w:rsidRDefault="00D173CD" w:rsidP="00741EC5">
      <w:pPr>
        <w:pStyle w:val="Heading2"/>
      </w:pPr>
      <w:bookmarkStart w:id="11" w:name="_Toc496609487"/>
      <w:bookmarkStart w:id="12" w:name="_Toc529962872"/>
      <w:bookmarkStart w:id="13" w:name="_Toc25150529"/>
      <w:bookmarkStart w:id="14" w:name="_Toc25150574"/>
      <w:r w:rsidRPr="00D173CD">
        <w:t>Interpreting the constitution</w:t>
      </w:r>
      <w:bookmarkEnd w:id="11"/>
      <w:bookmarkEnd w:id="12"/>
      <w:bookmarkEnd w:id="13"/>
      <w:bookmarkEnd w:id="14"/>
    </w:p>
    <w:p w14:paraId="2F22B3BD" w14:textId="77777777" w:rsidR="00D173CD" w:rsidRPr="00D173CD" w:rsidRDefault="00D173CD" w:rsidP="00741EC5">
      <w:pPr>
        <w:pStyle w:val="dNormParatext"/>
      </w:pPr>
      <w:r w:rsidRPr="00D173CD">
        <w:t>When the Constitution and the law allow the Council to do more than one thing, the Council will do what is closest to the purpose of the Constitution (2.3).</w:t>
      </w:r>
    </w:p>
    <w:p w14:paraId="2F22B3BE" w14:textId="77777777" w:rsidR="00D173CD" w:rsidRPr="00D173CD" w:rsidRDefault="00D173CD" w:rsidP="00741EC5">
      <w:pPr>
        <w:pStyle w:val="dNormParatext"/>
      </w:pPr>
      <w:r w:rsidRPr="00D173CD">
        <w:t>At Council meetings, the Lord Mayor’s interpretation of t</w:t>
      </w:r>
      <w:r w:rsidR="00C23769">
        <w:t xml:space="preserve">he Constitution will be final. </w:t>
      </w:r>
      <w:r w:rsidRPr="00D173CD">
        <w:t>When interpreting the Constitution, the Lord Mayor will consider the purpose of the Constitution (2.3) and the advice of the Monitoring Officer.</w:t>
      </w:r>
    </w:p>
    <w:p w14:paraId="2F22B3BF" w14:textId="77777777" w:rsidR="00D173CD" w:rsidRPr="00D173CD" w:rsidRDefault="00D173CD" w:rsidP="00741EC5">
      <w:pPr>
        <w:pStyle w:val="dNormParatext"/>
      </w:pPr>
      <w:r w:rsidRPr="00D173CD">
        <w:t xml:space="preserve">If the Constitution has no procedures for a meeting, or if there is a gap in the procedures for a meeting, the </w:t>
      </w:r>
      <w:r w:rsidR="00166B0B">
        <w:t>C</w:t>
      </w:r>
      <w:r w:rsidR="00C23769">
        <w:t xml:space="preserve">hair will decide what to do. </w:t>
      </w:r>
      <w:r w:rsidRPr="00D173CD">
        <w:t>This must be consistent with the purpose of the Constitution (2.3)</w:t>
      </w:r>
    </w:p>
    <w:p w14:paraId="2F22B3C0" w14:textId="77777777" w:rsidR="00D173CD" w:rsidRPr="00D173CD" w:rsidRDefault="00D173CD" w:rsidP="00741EC5">
      <w:pPr>
        <w:pStyle w:val="Heading2"/>
      </w:pPr>
      <w:bookmarkStart w:id="15" w:name="_Toc496609488"/>
      <w:bookmarkStart w:id="16" w:name="_Toc529962873"/>
      <w:bookmarkStart w:id="17" w:name="_Toc25150530"/>
      <w:bookmarkStart w:id="18" w:name="_Toc25150575"/>
      <w:r w:rsidRPr="00D173CD">
        <w:t xml:space="preserve">Purpose of the </w:t>
      </w:r>
      <w:r w:rsidR="008C609C">
        <w:t>C</w:t>
      </w:r>
      <w:r w:rsidRPr="00D173CD">
        <w:t>onstitution</w:t>
      </w:r>
      <w:bookmarkEnd w:id="15"/>
      <w:bookmarkEnd w:id="16"/>
      <w:bookmarkEnd w:id="17"/>
      <w:bookmarkEnd w:id="18"/>
    </w:p>
    <w:p w14:paraId="2F22B3C1" w14:textId="77777777" w:rsidR="00D173CD" w:rsidRPr="00D173CD" w:rsidRDefault="00D173CD" w:rsidP="00741EC5">
      <w:pPr>
        <w:pStyle w:val="dNormParatext"/>
      </w:pPr>
      <w:r w:rsidRPr="00D173CD">
        <w:t>The Constitution exists so that the Council can take its decisions and do its work effectively. It will help councillors to represent their wards and help the Council to:</w:t>
      </w:r>
    </w:p>
    <w:p w14:paraId="2F22B3C2" w14:textId="77777777" w:rsidR="00D173CD" w:rsidRPr="00C23769" w:rsidRDefault="00D173CD" w:rsidP="00C23769">
      <w:pPr>
        <w:pStyle w:val="dBulletpoints"/>
      </w:pPr>
      <w:r w:rsidRPr="00C23769">
        <w:t>provide clear leadership for the city</w:t>
      </w:r>
    </w:p>
    <w:p w14:paraId="2F22B3C3" w14:textId="77777777" w:rsidR="00D173CD" w:rsidRPr="00741EC5" w:rsidRDefault="00D173CD" w:rsidP="00C23769">
      <w:pPr>
        <w:pStyle w:val="dBulletpoints"/>
      </w:pPr>
      <w:r w:rsidRPr="00741EC5">
        <w:t>carry out proper consultation and take professional advice</w:t>
      </w:r>
    </w:p>
    <w:p w14:paraId="2F22B3C4" w14:textId="77777777" w:rsidR="00D173CD" w:rsidRPr="00741EC5" w:rsidRDefault="00D173CD" w:rsidP="00C23769">
      <w:pPr>
        <w:pStyle w:val="dBulletpoints"/>
      </w:pPr>
      <w:r w:rsidRPr="00741EC5">
        <w:t>act openly except when there are strong reasons not to (</w:t>
      </w:r>
      <w:r w:rsidR="00166B0B" w:rsidRPr="00741EC5">
        <w:t xml:space="preserve">Part </w:t>
      </w:r>
      <w:r w:rsidRPr="00741EC5">
        <w:t>15)</w:t>
      </w:r>
    </w:p>
    <w:p w14:paraId="2F22B3C5" w14:textId="77777777" w:rsidR="00D173CD" w:rsidRPr="00741EC5" w:rsidRDefault="00D173CD" w:rsidP="00C23769">
      <w:pPr>
        <w:pStyle w:val="dBulletpoints"/>
      </w:pPr>
      <w:r w:rsidRPr="00741EC5">
        <w:t>hold decision takers to account and make sure no one reviews their own decisions</w:t>
      </w:r>
    </w:p>
    <w:p w14:paraId="2F22B3C6" w14:textId="77777777" w:rsidR="00D173CD" w:rsidRPr="00741EC5" w:rsidRDefault="00D173CD" w:rsidP="00C23769">
      <w:pPr>
        <w:pStyle w:val="dBulletpoints"/>
      </w:pPr>
      <w:r w:rsidRPr="00741EC5">
        <w:t>respect human rights</w:t>
      </w:r>
    </w:p>
    <w:p w14:paraId="2F22B3C7" w14:textId="77777777" w:rsidR="00D173CD" w:rsidRPr="00741EC5" w:rsidRDefault="00D173CD" w:rsidP="00C23769">
      <w:pPr>
        <w:pStyle w:val="dBulletpoints"/>
      </w:pPr>
      <w:r w:rsidRPr="00741EC5">
        <w:t>act proportionately (European law</w:t>
      </w:r>
      <w:r w:rsidRPr="008C609C">
        <w:t xml:space="preserve"> defines this as doing no more than is necessary in a democratic society to achieve a legitimate aim).</w:t>
      </w:r>
    </w:p>
    <w:p w14:paraId="2F22B3C8" w14:textId="77777777" w:rsidR="00D173CD" w:rsidRPr="00D173CD" w:rsidRDefault="00D173CD" w:rsidP="00741EC5">
      <w:pPr>
        <w:pStyle w:val="Heading2"/>
      </w:pPr>
      <w:bookmarkStart w:id="19" w:name="_Toc496609489"/>
      <w:bookmarkStart w:id="20" w:name="_Toc529962874"/>
      <w:bookmarkStart w:id="21" w:name="_Toc25150531"/>
      <w:bookmarkStart w:id="22" w:name="_Toc25150576"/>
      <w:r w:rsidRPr="00D173CD">
        <w:t xml:space="preserve">Monitoring and reviewing the </w:t>
      </w:r>
      <w:r w:rsidR="008C609C">
        <w:t>C</w:t>
      </w:r>
      <w:r w:rsidRPr="00D173CD">
        <w:t>onstitution</w:t>
      </w:r>
      <w:bookmarkEnd w:id="19"/>
      <w:bookmarkEnd w:id="20"/>
      <w:bookmarkEnd w:id="21"/>
      <w:bookmarkEnd w:id="22"/>
    </w:p>
    <w:p w14:paraId="2F22B3C9" w14:textId="77777777" w:rsidR="00D173CD" w:rsidRDefault="00D173CD" w:rsidP="00741EC5">
      <w:pPr>
        <w:pStyle w:val="dNormParatext"/>
      </w:pPr>
      <w:r w:rsidRPr="00D173CD">
        <w:t>The Monitoring Officer will monitor and review the Constitution and may recommend changes.</w:t>
      </w:r>
    </w:p>
    <w:p w14:paraId="2F22B3CA" w14:textId="77777777" w:rsidR="00380FC7" w:rsidRDefault="00380FC7" w:rsidP="00380FC7">
      <w:pPr>
        <w:ind w:left="567"/>
        <w:rPr>
          <w:rFonts w:cs="Arial"/>
          <w:color w:val="auto"/>
          <w:u w:val="single"/>
        </w:rPr>
      </w:pPr>
      <w:r>
        <w:lastRenderedPageBreak/>
        <w:t xml:space="preserve">Where an annual review of the Constitution is undertaken, </w:t>
      </w:r>
      <w:r w:rsidRPr="00380FC7">
        <w:rPr>
          <w:rFonts w:cs="Arial"/>
        </w:rPr>
        <w:t>any changes recommended by the Monitoring Officer will be considered by a cross-party Constitution Working Group for recommendation to Council for adoption. The membership of the Constitution Working Group will be 8 members and adhere to political balance requirements. The Constitution Working Group will agree its own meeting dates and times and substitutes will be permitted.</w:t>
      </w:r>
    </w:p>
    <w:p w14:paraId="2F22B3CB" w14:textId="77777777" w:rsidR="00380FC7" w:rsidRPr="00380FC7" w:rsidRDefault="00380FC7" w:rsidP="00380FC7">
      <w:pPr>
        <w:rPr>
          <w:rFonts w:cs="Arial"/>
        </w:rPr>
      </w:pPr>
      <w:r>
        <w:rPr>
          <w:rFonts w:cs="Arial"/>
        </w:rPr>
        <w:tab/>
      </w:r>
    </w:p>
    <w:p w14:paraId="2F22B3CC" w14:textId="77777777" w:rsidR="00380FC7" w:rsidRPr="00380FC7" w:rsidRDefault="00380FC7" w:rsidP="00380FC7">
      <w:pPr>
        <w:pStyle w:val="dNormParatext"/>
      </w:pPr>
      <w:r w:rsidRPr="00380FC7">
        <w:rPr>
          <w:rFonts w:cs="Arial"/>
        </w:rPr>
        <w:t>Where changes are recommended for standalone issues, the Monitoring Officer will submit a report to Council setting out the recommended change(s) for agreement without convening a Constitution Working Group meeting.</w:t>
      </w:r>
    </w:p>
    <w:p w14:paraId="2F22B3CD" w14:textId="77777777" w:rsidR="00D173CD" w:rsidRPr="00D173CD" w:rsidRDefault="00D173CD" w:rsidP="00741EC5">
      <w:pPr>
        <w:pStyle w:val="Heading2"/>
      </w:pPr>
      <w:bookmarkStart w:id="23" w:name="_Toc496609490"/>
      <w:bookmarkStart w:id="24" w:name="_Toc529962875"/>
      <w:bookmarkStart w:id="25" w:name="_Toc25150532"/>
      <w:bookmarkStart w:id="26" w:name="_Toc25150577"/>
      <w:r w:rsidRPr="00D173CD">
        <w:t xml:space="preserve">Changing the </w:t>
      </w:r>
      <w:r w:rsidR="008C609C">
        <w:t>C</w:t>
      </w:r>
      <w:r w:rsidRPr="00D173CD">
        <w:t>onstitution</w:t>
      </w:r>
      <w:bookmarkEnd w:id="23"/>
      <w:bookmarkEnd w:id="24"/>
      <w:bookmarkEnd w:id="25"/>
      <w:bookmarkEnd w:id="26"/>
    </w:p>
    <w:p w14:paraId="2F22B3CE" w14:textId="77777777" w:rsidR="00D173CD" w:rsidRPr="00D173CD" w:rsidRDefault="00D173CD" w:rsidP="00741EC5">
      <w:pPr>
        <w:pStyle w:val="dNormParatext"/>
      </w:pPr>
      <w:r w:rsidRPr="00D173CD">
        <w:t>The Monitoring Officer can change the Constitution if it is to put right clerical mistakes</w:t>
      </w:r>
      <w:r w:rsidR="00C23769">
        <w:t xml:space="preserve"> or to make it follow the law. </w:t>
      </w:r>
      <w:r w:rsidRPr="00D173CD">
        <w:t xml:space="preserve">The Monitoring Officer can also change </w:t>
      </w:r>
      <w:r w:rsidR="00166B0B">
        <w:t xml:space="preserve">Part </w:t>
      </w:r>
      <w:r w:rsidRPr="00D173CD">
        <w:t xml:space="preserve">4 (who carries out executive responsibilities) and </w:t>
      </w:r>
      <w:r w:rsidR="00166B0B">
        <w:t xml:space="preserve">Part </w:t>
      </w:r>
      <w:r w:rsidRPr="00D173CD">
        <w:t>6 (roles of Cabinet members) to reflect the wishes of the Leader.</w:t>
      </w:r>
      <w:r w:rsidR="00380FC7">
        <w:t xml:space="preserve"> </w:t>
      </w:r>
      <w:r w:rsidR="00380FC7" w:rsidRPr="00380FC7">
        <w:rPr>
          <w:rFonts w:cs="Arial"/>
        </w:rPr>
        <w:t>The Monitoring Officer may also change Part 3 Annex 1 to reflect amendments agreed by Cabinet.</w:t>
      </w:r>
    </w:p>
    <w:p w14:paraId="2F22B3CF" w14:textId="77777777" w:rsidR="00D173CD" w:rsidRPr="00D173CD" w:rsidRDefault="00D173CD" w:rsidP="00741EC5">
      <w:pPr>
        <w:pStyle w:val="dNormParatext"/>
      </w:pPr>
      <w:r w:rsidRPr="00D173CD">
        <w:t>Any other changes must be agreed by Council after considering a report from the Monitoring Officer.</w:t>
      </w:r>
    </w:p>
    <w:p w14:paraId="2F22B3D0" w14:textId="77777777" w:rsidR="00D173CD" w:rsidRPr="00D173CD" w:rsidRDefault="00D173CD" w:rsidP="00741EC5">
      <w:pPr>
        <w:pStyle w:val="Heading2"/>
      </w:pPr>
      <w:bookmarkStart w:id="27" w:name="_Toc496609491"/>
      <w:bookmarkStart w:id="28" w:name="_Toc529962876"/>
      <w:bookmarkStart w:id="29" w:name="_Toc25150533"/>
      <w:bookmarkStart w:id="30" w:name="_Toc25150578"/>
      <w:r w:rsidRPr="00D173CD">
        <w:t>Changing governance arrangements</w:t>
      </w:r>
      <w:bookmarkEnd w:id="27"/>
      <w:bookmarkEnd w:id="28"/>
      <w:bookmarkEnd w:id="29"/>
      <w:bookmarkEnd w:id="30"/>
    </w:p>
    <w:p w14:paraId="2F22B3D1" w14:textId="77777777" w:rsidR="00D173CD" w:rsidRPr="00D173CD" w:rsidRDefault="00D173CD" w:rsidP="00741EC5">
      <w:pPr>
        <w:pStyle w:val="dNormParatext"/>
      </w:pPr>
      <w:r w:rsidRPr="00D173CD">
        <w:t>The Council may, by resolution, change the form of its executive arrangements or change to a different permitted model of governance. The Council may choose to hold a referendum in that event.</w:t>
      </w:r>
    </w:p>
    <w:p w14:paraId="2F22B3D2" w14:textId="77777777" w:rsidR="00D173CD" w:rsidRPr="00D173CD" w:rsidRDefault="00D173CD" w:rsidP="00741EC5">
      <w:pPr>
        <w:pStyle w:val="Heading2"/>
      </w:pPr>
      <w:bookmarkStart w:id="31" w:name="_Toc496609492"/>
      <w:bookmarkStart w:id="32" w:name="_Toc529962877"/>
      <w:bookmarkStart w:id="33" w:name="_Toc25150534"/>
      <w:bookmarkStart w:id="34" w:name="_Toc25150579"/>
      <w:r w:rsidRPr="00D173CD">
        <w:t xml:space="preserve">Suspending the </w:t>
      </w:r>
      <w:r w:rsidR="008C609C">
        <w:t>C</w:t>
      </w:r>
      <w:r w:rsidRPr="00D173CD">
        <w:t>onstitution</w:t>
      </w:r>
      <w:bookmarkEnd w:id="31"/>
      <w:bookmarkEnd w:id="32"/>
      <w:bookmarkEnd w:id="33"/>
      <w:bookmarkEnd w:id="34"/>
    </w:p>
    <w:p w14:paraId="2F22B3D3" w14:textId="77777777" w:rsidR="00D173CD" w:rsidRPr="00D173CD" w:rsidRDefault="00D173CD" w:rsidP="00741EC5">
      <w:pPr>
        <w:pStyle w:val="dNormParatext"/>
      </w:pPr>
      <w:r w:rsidRPr="00D173CD">
        <w:t>The Constitution can only be suspended where it says so (</w:t>
      </w:r>
      <w:r w:rsidR="00166B0B">
        <w:t xml:space="preserve">Part </w:t>
      </w:r>
      <w:r w:rsidRPr="00D173CD">
        <w:t>11.26).</w:t>
      </w:r>
    </w:p>
    <w:p w14:paraId="2F22B3D4" w14:textId="77777777" w:rsidR="00D173CD" w:rsidRPr="00D173CD" w:rsidRDefault="00D173CD" w:rsidP="00741EC5">
      <w:pPr>
        <w:pStyle w:val="Heading2"/>
      </w:pPr>
      <w:bookmarkStart w:id="35" w:name="_Toc496609493"/>
      <w:bookmarkStart w:id="36" w:name="_Toc529962878"/>
      <w:bookmarkStart w:id="37" w:name="_Toc25150535"/>
      <w:bookmarkStart w:id="38" w:name="_Toc25150580"/>
      <w:r w:rsidRPr="00D173CD">
        <w:t xml:space="preserve">Publishing the </w:t>
      </w:r>
      <w:r w:rsidR="008C609C">
        <w:t>C</w:t>
      </w:r>
      <w:r w:rsidRPr="00D173CD">
        <w:t>onstitution</w:t>
      </w:r>
      <w:bookmarkEnd w:id="35"/>
      <w:bookmarkEnd w:id="36"/>
      <w:bookmarkEnd w:id="37"/>
      <w:bookmarkEnd w:id="38"/>
    </w:p>
    <w:p w14:paraId="2F22B3D5" w14:textId="77777777" w:rsidR="00D173CD" w:rsidRDefault="00D173CD" w:rsidP="00741EC5">
      <w:pPr>
        <w:pStyle w:val="dNormParatext"/>
      </w:pPr>
      <w:r w:rsidRPr="00D173CD">
        <w:t>The Monitoring Officer will keep an up to date version of the Constitution and publish it on the Council’s website.</w:t>
      </w:r>
      <w:bookmarkEnd w:id="6"/>
      <w:r w:rsidR="00380FC7">
        <w:t xml:space="preserve"> </w:t>
      </w:r>
      <w:r w:rsidR="00380FC7" w:rsidRPr="00380FC7">
        <w:rPr>
          <w:rFonts w:cs="Arial"/>
        </w:rPr>
        <w:t>A paper copy for reference only will be made available and remain in the Council offices. Additional paper copies may be made available to members of the public for personal use in exchange for the payment of a fee.</w:t>
      </w:r>
    </w:p>
    <w:p w14:paraId="2F22B3D6" w14:textId="77777777" w:rsidR="00320138" w:rsidRPr="00D173CD" w:rsidRDefault="00320138" w:rsidP="00741EC5">
      <w:pPr>
        <w:pStyle w:val="dNormParatext"/>
      </w:pPr>
    </w:p>
    <w:sectPr w:rsidR="00320138" w:rsidRPr="00D173CD"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B3D9" w14:textId="77777777" w:rsidR="00BB4BAC" w:rsidRDefault="00BB4BAC" w:rsidP="004A6D2F">
      <w:r>
        <w:separator/>
      </w:r>
    </w:p>
  </w:endnote>
  <w:endnote w:type="continuationSeparator" w:id="0">
    <w:p w14:paraId="2F22B3DA"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DC" w14:textId="77777777" w:rsidR="00641712" w:rsidRDefault="00641712" w:rsidP="004A6D2F">
    <w:r>
      <w:t>Do not use a footer or page numbers.</w:t>
    </w:r>
  </w:p>
  <w:p w14:paraId="2F22B3DD" w14:textId="77777777" w:rsidR="00641712" w:rsidRDefault="00641712" w:rsidP="004A6D2F"/>
  <w:p w14:paraId="2F22B3DE"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DF" w14:textId="77777777" w:rsidR="00175754" w:rsidRDefault="00175754" w:rsidP="00175754">
    <w:pPr>
      <w:rPr>
        <w:sz w:val="22"/>
        <w:szCs w:val="22"/>
      </w:rPr>
    </w:pPr>
  </w:p>
  <w:p w14:paraId="2F22B3E0" w14:textId="77777777" w:rsidR="00175754" w:rsidRPr="00AE42D6" w:rsidRDefault="00175754" w:rsidP="002E35A4">
    <w:pPr>
      <w:pStyle w:val="Footer"/>
    </w:pPr>
    <w:r w:rsidRPr="00AE42D6">
      <w:t xml:space="preserve">Part </w:t>
    </w:r>
    <w:r w:rsidR="008C609C">
      <w:t>2</w:t>
    </w:r>
    <w:r w:rsidR="006D2A1C">
      <w:t xml:space="preserve"> </w:t>
    </w:r>
    <w:r w:rsidR="008C609C">
      <w:t>About the Constitution</w:t>
    </w:r>
  </w:p>
  <w:p w14:paraId="2F22B3E1" w14:textId="7AAF731D" w:rsidR="00175754" w:rsidRPr="00AE42D6" w:rsidRDefault="000F649E" w:rsidP="002E35A4">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E3" w14:textId="77777777" w:rsidR="00175754" w:rsidRDefault="00175754">
    <w:r>
      <w:t>July 2019</w:t>
    </w:r>
  </w:p>
  <w:p w14:paraId="2F22B3E4"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B3D7" w14:textId="77777777" w:rsidR="00BB4BAC" w:rsidRDefault="00BB4BAC" w:rsidP="004A6D2F">
      <w:r>
        <w:separator/>
      </w:r>
    </w:p>
  </w:footnote>
  <w:footnote w:type="continuationSeparator" w:id="0">
    <w:p w14:paraId="2F22B3D8"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DB" w14:textId="77777777" w:rsidR="00175754" w:rsidRPr="00AE42D6" w:rsidRDefault="00175754" w:rsidP="002E35A4">
    <w:pPr>
      <w:pStyle w:val="Header"/>
    </w:pPr>
    <w:r w:rsidRPr="00AE42D6">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E2"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82D5D"/>
    <w:multiLevelType w:val="hybridMultilevel"/>
    <w:tmpl w:val="F63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D2D3333"/>
    <w:multiLevelType w:val="hybridMultilevel"/>
    <w:tmpl w:val="9D9E1E2A"/>
    <w:lvl w:ilvl="0" w:tplc="F9ACE436">
      <w:start w:val="2"/>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D6846C8"/>
    <w:multiLevelType w:val="multilevel"/>
    <w:tmpl w:val="0826EAE2"/>
    <w:lvl w:ilvl="0">
      <w:start w:val="1"/>
      <w:numFmt w:val="decimal"/>
      <w:pStyle w:val="Heading2"/>
      <w:lvlText w:val="2.%1"/>
      <w:lvlJc w:val="left"/>
      <w:pPr>
        <w:ind w:left="21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5B0E89"/>
    <w:multiLevelType w:val="hybridMultilevel"/>
    <w:tmpl w:val="075E02D4"/>
    <w:lvl w:ilvl="0" w:tplc="C5D05CF0">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4DF62909"/>
    <w:multiLevelType w:val="hybridMultilevel"/>
    <w:tmpl w:val="F92C9064"/>
    <w:lvl w:ilvl="0" w:tplc="F3965514">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9" w15:restartNumberingAfterBreak="0">
    <w:nsid w:val="7C300CEE"/>
    <w:multiLevelType w:val="hybridMultilevel"/>
    <w:tmpl w:val="2A22D30C"/>
    <w:lvl w:ilvl="0" w:tplc="18D4D770">
      <w:start w:val="1"/>
      <w:numFmt w:val="bullet"/>
      <w:pStyle w:val="dBulletpoints"/>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887106897">
    <w:abstractNumId w:val="5"/>
  </w:num>
  <w:num w:numId="2" w16cid:durableId="619647106">
    <w:abstractNumId w:val="3"/>
  </w:num>
  <w:num w:numId="3" w16cid:durableId="1817719524">
    <w:abstractNumId w:val="9"/>
  </w:num>
  <w:num w:numId="4" w16cid:durableId="992099472">
    <w:abstractNumId w:val="7"/>
  </w:num>
  <w:num w:numId="5" w16cid:durableId="906837525">
    <w:abstractNumId w:val="4"/>
  </w:num>
  <w:num w:numId="6" w16cid:durableId="537282721">
    <w:abstractNumId w:val="0"/>
  </w:num>
  <w:num w:numId="7" w16cid:durableId="1561594115">
    <w:abstractNumId w:val="8"/>
  </w:num>
  <w:num w:numId="8" w16cid:durableId="2091461845">
    <w:abstractNumId w:val="2"/>
  </w:num>
  <w:num w:numId="9" w16cid:durableId="1960143120">
    <w:abstractNumId w:val="1"/>
  </w:num>
  <w:num w:numId="10" w16cid:durableId="69659018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4F0D"/>
    <w:rsid w:val="00045F8B"/>
    <w:rsid w:val="00046D2B"/>
    <w:rsid w:val="00056263"/>
    <w:rsid w:val="00064D8A"/>
    <w:rsid w:val="00064F82"/>
    <w:rsid w:val="00066510"/>
    <w:rsid w:val="00077523"/>
    <w:rsid w:val="000C089F"/>
    <w:rsid w:val="000C3928"/>
    <w:rsid w:val="000C5E8E"/>
    <w:rsid w:val="000F4751"/>
    <w:rsid w:val="000F4992"/>
    <w:rsid w:val="000F649E"/>
    <w:rsid w:val="001027AE"/>
    <w:rsid w:val="0010524C"/>
    <w:rsid w:val="00111FB1"/>
    <w:rsid w:val="00113418"/>
    <w:rsid w:val="00131B7B"/>
    <w:rsid w:val="00135555"/>
    <w:rsid w:val="001356F1"/>
    <w:rsid w:val="00136994"/>
    <w:rsid w:val="0014128E"/>
    <w:rsid w:val="00151888"/>
    <w:rsid w:val="0015604C"/>
    <w:rsid w:val="00166B0B"/>
    <w:rsid w:val="00170A2D"/>
    <w:rsid w:val="00175754"/>
    <w:rsid w:val="001808BC"/>
    <w:rsid w:val="00182B81"/>
    <w:rsid w:val="0018619D"/>
    <w:rsid w:val="00194099"/>
    <w:rsid w:val="001A011E"/>
    <w:rsid w:val="001A066A"/>
    <w:rsid w:val="001A13E6"/>
    <w:rsid w:val="001A5731"/>
    <w:rsid w:val="001B42C3"/>
    <w:rsid w:val="001C5D5E"/>
    <w:rsid w:val="001D678D"/>
    <w:rsid w:val="001E03F8"/>
    <w:rsid w:val="001E1678"/>
    <w:rsid w:val="001E3376"/>
    <w:rsid w:val="002069B3"/>
    <w:rsid w:val="002329CF"/>
    <w:rsid w:val="00232F5B"/>
    <w:rsid w:val="0023394B"/>
    <w:rsid w:val="00247C29"/>
    <w:rsid w:val="00260467"/>
    <w:rsid w:val="00263EA3"/>
    <w:rsid w:val="002702ED"/>
    <w:rsid w:val="00284F85"/>
    <w:rsid w:val="00290915"/>
    <w:rsid w:val="002A22E2"/>
    <w:rsid w:val="002B7D6B"/>
    <w:rsid w:val="002C64F7"/>
    <w:rsid w:val="002E35A4"/>
    <w:rsid w:val="002F41F2"/>
    <w:rsid w:val="00301BF3"/>
    <w:rsid w:val="0030208D"/>
    <w:rsid w:val="003175A9"/>
    <w:rsid w:val="00320138"/>
    <w:rsid w:val="00323418"/>
    <w:rsid w:val="003357BF"/>
    <w:rsid w:val="00340383"/>
    <w:rsid w:val="00364FAD"/>
    <w:rsid w:val="0036738F"/>
    <w:rsid w:val="0036759C"/>
    <w:rsid w:val="00367AE5"/>
    <w:rsid w:val="00367D71"/>
    <w:rsid w:val="00380FC7"/>
    <w:rsid w:val="0038150A"/>
    <w:rsid w:val="003B1773"/>
    <w:rsid w:val="003B3B99"/>
    <w:rsid w:val="003B6E75"/>
    <w:rsid w:val="003B7DA1"/>
    <w:rsid w:val="003C5C07"/>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32A7"/>
    <w:rsid w:val="00462AB5"/>
    <w:rsid w:val="00465EAF"/>
    <w:rsid w:val="004738C5"/>
    <w:rsid w:val="00491046"/>
    <w:rsid w:val="004A2377"/>
    <w:rsid w:val="004A2AC7"/>
    <w:rsid w:val="004A6D2F"/>
    <w:rsid w:val="004B460B"/>
    <w:rsid w:val="004C2887"/>
    <w:rsid w:val="004D2626"/>
    <w:rsid w:val="004D6E26"/>
    <w:rsid w:val="004D77D3"/>
    <w:rsid w:val="004E2959"/>
    <w:rsid w:val="004F10A1"/>
    <w:rsid w:val="004F20EF"/>
    <w:rsid w:val="0050321C"/>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41712"/>
    <w:rsid w:val="00650811"/>
    <w:rsid w:val="00661D3E"/>
    <w:rsid w:val="00663C70"/>
    <w:rsid w:val="006701DC"/>
    <w:rsid w:val="00692627"/>
    <w:rsid w:val="006969E7"/>
    <w:rsid w:val="006A2EE3"/>
    <w:rsid w:val="006A3643"/>
    <w:rsid w:val="006C2A29"/>
    <w:rsid w:val="006C64CF"/>
    <w:rsid w:val="006D17B1"/>
    <w:rsid w:val="006D2A1C"/>
    <w:rsid w:val="006D4752"/>
    <w:rsid w:val="006D63FA"/>
    <w:rsid w:val="006D708A"/>
    <w:rsid w:val="006E14C1"/>
    <w:rsid w:val="006F0292"/>
    <w:rsid w:val="006F27FA"/>
    <w:rsid w:val="006F416B"/>
    <w:rsid w:val="006F519B"/>
    <w:rsid w:val="00713675"/>
    <w:rsid w:val="00715823"/>
    <w:rsid w:val="007315F5"/>
    <w:rsid w:val="00737B5F"/>
    <w:rsid w:val="00737B93"/>
    <w:rsid w:val="00741EC5"/>
    <w:rsid w:val="00745BF0"/>
    <w:rsid w:val="007615FE"/>
    <w:rsid w:val="00764B69"/>
    <w:rsid w:val="0076655C"/>
    <w:rsid w:val="007742DC"/>
    <w:rsid w:val="00791437"/>
    <w:rsid w:val="00796FDB"/>
    <w:rsid w:val="007B0C2C"/>
    <w:rsid w:val="007B278E"/>
    <w:rsid w:val="007C5C23"/>
    <w:rsid w:val="007E2A26"/>
    <w:rsid w:val="007E3A99"/>
    <w:rsid w:val="007E6DBE"/>
    <w:rsid w:val="007F2348"/>
    <w:rsid w:val="00803F07"/>
    <w:rsid w:val="0080749A"/>
    <w:rsid w:val="00821FB8"/>
    <w:rsid w:val="00822ACD"/>
    <w:rsid w:val="00855C66"/>
    <w:rsid w:val="00871EE4"/>
    <w:rsid w:val="008A65BA"/>
    <w:rsid w:val="008B293F"/>
    <w:rsid w:val="008B7371"/>
    <w:rsid w:val="008C609C"/>
    <w:rsid w:val="008D3420"/>
    <w:rsid w:val="008D3DDB"/>
    <w:rsid w:val="008F19EC"/>
    <w:rsid w:val="008F573F"/>
    <w:rsid w:val="009034EC"/>
    <w:rsid w:val="0090378C"/>
    <w:rsid w:val="00927B2D"/>
    <w:rsid w:val="0093067A"/>
    <w:rsid w:val="00941C60"/>
    <w:rsid w:val="00966D42"/>
    <w:rsid w:val="00971689"/>
    <w:rsid w:val="00973E90"/>
    <w:rsid w:val="00975B07"/>
    <w:rsid w:val="00980B4A"/>
    <w:rsid w:val="009E3D0A"/>
    <w:rsid w:val="009E51FC"/>
    <w:rsid w:val="009F1D28"/>
    <w:rsid w:val="009F27DB"/>
    <w:rsid w:val="009F4A3A"/>
    <w:rsid w:val="009F7618"/>
    <w:rsid w:val="00A04D23"/>
    <w:rsid w:val="00A06766"/>
    <w:rsid w:val="00A13765"/>
    <w:rsid w:val="00A21B12"/>
    <w:rsid w:val="00A23F80"/>
    <w:rsid w:val="00A46E98"/>
    <w:rsid w:val="00A60759"/>
    <w:rsid w:val="00A6352B"/>
    <w:rsid w:val="00A701B5"/>
    <w:rsid w:val="00A714BB"/>
    <w:rsid w:val="00A85908"/>
    <w:rsid w:val="00A92D8F"/>
    <w:rsid w:val="00AB2988"/>
    <w:rsid w:val="00AB7999"/>
    <w:rsid w:val="00AC7D47"/>
    <w:rsid w:val="00AD3292"/>
    <w:rsid w:val="00AE42D6"/>
    <w:rsid w:val="00AE782F"/>
    <w:rsid w:val="00AE7AF0"/>
    <w:rsid w:val="00B00182"/>
    <w:rsid w:val="00B500CA"/>
    <w:rsid w:val="00B50BEC"/>
    <w:rsid w:val="00B86314"/>
    <w:rsid w:val="00BA1C2E"/>
    <w:rsid w:val="00BB4BAC"/>
    <w:rsid w:val="00BC200B"/>
    <w:rsid w:val="00BC4756"/>
    <w:rsid w:val="00BC5362"/>
    <w:rsid w:val="00BC69A4"/>
    <w:rsid w:val="00BE0680"/>
    <w:rsid w:val="00BE305F"/>
    <w:rsid w:val="00BE7BA3"/>
    <w:rsid w:val="00BF5682"/>
    <w:rsid w:val="00BF7B09"/>
    <w:rsid w:val="00C002C5"/>
    <w:rsid w:val="00C01C49"/>
    <w:rsid w:val="00C20A95"/>
    <w:rsid w:val="00C23769"/>
    <w:rsid w:val="00C2692F"/>
    <w:rsid w:val="00C3207C"/>
    <w:rsid w:val="00C400E1"/>
    <w:rsid w:val="00C41187"/>
    <w:rsid w:val="00C61418"/>
    <w:rsid w:val="00C63C31"/>
    <w:rsid w:val="00C67822"/>
    <w:rsid w:val="00C757A0"/>
    <w:rsid w:val="00C760DE"/>
    <w:rsid w:val="00C82630"/>
    <w:rsid w:val="00C85B4E"/>
    <w:rsid w:val="00C907F7"/>
    <w:rsid w:val="00CA1CEA"/>
    <w:rsid w:val="00CA2103"/>
    <w:rsid w:val="00CA28EB"/>
    <w:rsid w:val="00CB6B99"/>
    <w:rsid w:val="00CE4C87"/>
    <w:rsid w:val="00CE544A"/>
    <w:rsid w:val="00D11E1C"/>
    <w:rsid w:val="00D160B0"/>
    <w:rsid w:val="00D173CD"/>
    <w:rsid w:val="00D17F94"/>
    <w:rsid w:val="00D223FC"/>
    <w:rsid w:val="00D26D1E"/>
    <w:rsid w:val="00D2739C"/>
    <w:rsid w:val="00D474CF"/>
    <w:rsid w:val="00D5547E"/>
    <w:rsid w:val="00D869A1"/>
    <w:rsid w:val="00DA413F"/>
    <w:rsid w:val="00DA4584"/>
    <w:rsid w:val="00DA614B"/>
    <w:rsid w:val="00DC3060"/>
    <w:rsid w:val="00DE0FB2"/>
    <w:rsid w:val="00DF093E"/>
    <w:rsid w:val="00E01F42"/>
    <w:rsid w:val="00E206D6"/>
    <w:rsid w:val="00E3366E"/>
    <w:rsid w:val="00E47211"/>
    <w:rsid w:val="00E52086"/>
    <w:rsid w:val="00E543A6"/>
    <w:rsid w:val="00E60479"/>
    <w:rsid w:val="00E61D73"/>
    <w:rsid w:val="00E73684"/>
    <w:rsid w:val="00E818D6"/>
    <w:rsid w:val="00E87F7A"/>
    <w:rsid w:val="00E96BD7"/>
    <w:rsid w:val="00EA0DB1"/>
    <w:rsid w:val="00EA0EE9"/>
    <w:rsid w:val="00ED52CA"/>
    <w:rsid w:val="00ED5860"/>
    <w:rsid w:val="00EE35C9"/>
    <w:rsid w:val="00F05ECA"/>
    <w:rsid w:val="00F31DC0"/>
    <w:rsid w:val="00F3566E"/>
    <w:rsid w:val="00F375FB"/>
    <w:rsid w:val="00F41AC1"/>
    <w:rsid w:val="00F4367A"/>
    <w:rsid w:val="00F4457B"/>
    <w:rsid w:val="00F445B1"/>
    <w:rsid w:val="00F45CD4"/>
    <w:rsid w:val="00F65C22"/>
    <w:rsid w:val="00F66DCA"/>
    <w:rsid w:val="00F74F53"/>
    <w:rsid w:val="00F7606D"/>
    <w:rsid w:val="00F81670"/>
    <w:rsid w:val="00F82024"/>
    <w:rsid w:val="00F95BC9"/>
    <w:rsid w:val="00FA624C"/>
    <w:rsid w:val="00FB7CBB"/>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F22B3AF"/>
  <w15:docId w15:val="{A1D031DD-C4F3-4585-9ED2-32590F27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759"/>
    <w:rPr>
      <w:color w:val="000000"/>
      <w:sz w:val="24"/>
      <w:szCs w:val="24"/>
    </w:rPr>
  </w:style>
  <w:style w:type="paragraph" w:styleId="Heading1">
    <w:name w:val="heading 1"/>
    <w:aliases w:val="aMainHeader"/>
    <w:basedOn w:val="Normal"/>
    <w:next w:val="Normal"/>
    <w:link w:val="Heading1Char"/>
    <w:qFormat/>
    <w:rsid w:val="00A60759"/>
    <w:pPr>
      <w:ind w:left="567" w:hanging="709"/>
      <w:outlineLvl w:val="0"/>
    </w:pPr>
    <w:rPr>
      <w:b/>
      <w:color w:val="auto"/>
      <w:sz w:val="28"/>
      <w:szCs w:val="28"/>
      <w:lang w:eastAsia="en-US"/>
    </w:rPr>
  </w:style>
  <w:style w:type="paragraph" w:styleId="Heading2">
    <w:name w:val="heading 2"/>
    <w:aliases w:val="bHeader"/>
    <w:basedOn w:val="Normal"/>
    <w:next w:val="Normal"/>
    <w:qFormat/>
    <w:rsid w:val="00741EC5"/>
    <w:pPr>
      <w:numPr>
        <w:numId w:val="10"/>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741EC5"/>
    <w:pPr>
      <w:numPr>
        <w:numId w:val="7"/>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A60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607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0759"/>
    <w:rPr>
      <w:rFonts w:ascii="Tahoma" w:hAnsi="Tahoma" w:cs="Tahoma"/>
      <w:sz w:val="16"/>
      <w:szCs w:val="16"/>
    </w:rPr>
  </w:style>
  <w:style w:type="character" w:customStyle="1" w:styleId="BalloonTextChar">
    <w:name w:val="Balloon Text Char"/>
    <w:basedOn w:val="DefaultParagraphFont"/>
    <w:link w:val="BalloonText"/>
    <w:rsid w:val="00A60759"/>
    <w:rPr>
      <w:rFonts w:ascii="Tahoma" w:hAnsi="Tahoma" w:cs="Tahoma"/>
      <w:color w:val="000000"/>
      <w:sz w:val="16"/>
      <w:szCs w:val="16"/>
    </w:rPr>
  </w:style>
  <w:style w:type="paragraph" w:styleId="Caption">
    <w:name w:val="caption"/>
    <w:aliases w:val="Figure/TableCaption"/>
    <w:basedOn w:val="Normal"/>
    <w:next w:val="Normal"/>
    <w:unhideWhenUsed/>
    <w:qFormat/>
    <w:rsid w:val="00A60759"/>
    <w:pPr>
      <w:jc w:val="center"/>
    </w:pPr>
    <w:rPr>
      <w:b/>
    </w:rPr>
  </w:style>
  <w:style w:type="character" w:styleId="CommentReference">
    <w:name w:val="annotation reference"/>
    <w:rsid w:val="00A60759"/>
    <w:rPr>
      <w:sz w:val="16"/>
      <w:szCs w:val="16"/>
    </w:rPr>
  </w:style>
  <w:style w:type="paragraph" w:styleId="CommentText">
    <w:name w:val="annotation text"/>
    <w:basedOn w:val="Normal"/>
    <w:link w:val="CommentTextChar"/>
    <w:rsid w:val="00A60759"/>
    <w:rPr>
      <w:sz w:val="20"/>
      <w:szCs w:val="20"/>
    </w:rPr>
  </w:style>
  <w:style w:type="character" w:customStyle="1" w:styleId="CommentTextChar">
    <w:name w:val="Comment Text Char"/>
    <w:basedOn w:val="DefaultParagraphFont"/>
    <w:link w:val="CommentText"/>
    <w:rsid w:val="00A60759"/>
    <w:rPr>
      <w:color w:val="000000"/>
    </w:rPr>
  </w:style>
  <w:style w:type="paragraph" w:styleId="CommentSubject">
    <w:name w:val="annotation subject"/>
    <w:basedOn w:val="CommentText"/>
    <w:next w:val="CommentText"/>
    <w:link w:val="CommentSubjectChar"/>
    <w:rsid w:val="00A60759"/>
    <w:rPr>
      <w:b/>
      <w:bCs/>
    </w:rPr>
  </w:style>
  <w:style w:type="character" w:customStyle="1" w:styleId="CommentSubjectChar">
    <w:name w:val="Comment Subject Char"/>
    <w:basedOn w:val="CommentTextChar"/>
    <w:link w:val="CommentSubject"/>
    <w:rsid w:val="00A60759"/>
    <w:rPr>
      <w:b/>
      <w:bCs/>
      <w:color w:val="000000"/>
    </w:rPr>
  </w:style>
  <w:style w:type="paragraph" w:customStyle="1" w:styleId="dBulletpoints">
    <w:name w:val="dBullet points"/>
    <w:basedOn w:val="Normal"/>
    <w:link w:val="dBulletpointsChar"/>
    <w:qFormat/>
    <w:rsid w:val="00C23769"/>
    <w:pPr>
      <w:numPr>
        <w:numId w:val="3"/>
      </w:numPr>
      <w:spacing w:after="120"/>
      <w:ind w:left="1276" w:hanging="425"/>
    </w:pPr>
    <w:rPr>
      <w:color w:val="auto"/>
      <w:lang w:eastAsia="en-US"/>
    </w:rPr>
  </w:style>
  <w:style w:type="character" w:customStyle="1" w:styleId="dBulletpointsChar">
    <w:name w:val="dBullet points Char"/>
    <w:link w:val="dBulletpoints"/>
    <w:rsid w:val="00C23769"/>
    <w:rPr>
      <w:sz w:val="24"/>
      <w:szCs w:val="24"/>
      <w:lang w:eastAsia="en-US"/>
    </w:rPr>
  </w:style>
  <w:style w:type="paragraph" w:customStyle="1" w:styleId="dLetterListPara">
    <w:name w:val="dLetterListPara"/>
    <w:basedOn w:val="Normal"/>
    <w:link w:val="dLetterListParaChar"/>
    <w:qFormat/>
    <w:rsid w:val="00A60759"/>
    <w:pPr>
      <w:spacing w:after="120"/>
      <w:ind w:left="992"/>
    </w:pPr>
    <w:rPr>
      <w:color w:val="auto"/>
      <w:lang w:eastAsia="en-US"/>
    </w:rPr>
  </w:style>
  <w:style w:type="character" w:customStyle="1" w:styleId="dLetterListParaChar">
    <w:name w:val="dLetterListPara Char"/>
    <w:basedOn w:val="DefaultParagraphFont"/>
    <w:link w:val="dLetterListPara"/>
    <w:rsid w:val="00A60759"/>
    <w:rPr>
      <w:sz w:val="24"/>
      <w:szCs w:val="24"/>
      <w:lang w:eastAsia="en-US"/>
    </w:rPr>
  </w:style>
  <w:style w:type="paragraph" w:customStyle="1" w:styleId="dLetterLettPara">
    <w:name w:val="dLetterLettPara"/>
    <w:basedOn w:val="dLetterListPara"/>
    <w:link w:val="dLetterLettParaChar"/>
    <w:qFormat/>
    <w:rsid w:val="00C23769"/>
    <w:pPr>
      <w:numPr>
        <w:numId w:val="4"/>
      </w:numPr>
      <w:ind w:left="993" w:hanging="426"/>
    </w:pPr>
  </w:style>
  <w:style w:type="character" w:customStyle="1" w:styleId="dLetterLettParaChar">
    <w:name w:val="dLetterLettPara Char"/>
    <w:basedOn w:val="dLetterListParaChar"/>
    <w:link w:val="dLetterLettPara"/>
    <w:rsid w:val="00C23769"/>
    <w:rPr>
      <w:sz w:val="24"/>
      <w:szCs w:val="24"/>
      <w:lang w:eastAsia="en-US"/>
    </w:rPr>
  </w:style>
  <w:style w:type="paragraph" w:customStyle="1" w:styleId="dNormParatext">
    <w:name w:val="dNormPara text"/>
    <w:basedOn w:val="Normal"/>
    <w:link w:val="dNormParatextChar"/>
    <w:qFormat/>
    <w:rsid w:val="00A60759"/>
    <w:pPr>
      <w:spacing w:after="120"/>
      <w:ind w:left="567"/>
    </w:pPr>
    <w:rPr>
      <w:color w:val="auto"/>
      <w:lang w:eastAsia="en-US"/>
    </w:rPr>
  </w:style>
  <w:style w:type="character" w:customStyle="1" w:styleId="dNormParatextChar">
    <w:name w:val="dNormPara text Char"/>
    <w:link w:val="dNormParatext"/>
    <w:rsid w:val="00A60759"/>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A60759"/>
    <w:pPr>
      <w:numPr>
        <w:numId w:val="5"/>
      </w:numPr>
    </w:pPr>
  </w:style>
  <w:style w:type="paragraph" w:customStyle="1" w:styleId="eRomanSubList">
    <w:name w:val="eRomanSubList"/>
    <w:basedOn w:val="dLetterListPara"/>
    <w:link w:val="eRomanSubListChar"/>
    <w:qFormat/>
    <w:rsid w:val="00A60759"/>
    <w:pPr>
      <w:numPr>
        <w:numId w:val="6"/>
      </w:numPr>
    </w:pPr>
  </w:style>
  <w:style w:type="character" w:customStyle="1" w:styleId="eRomanSubListChar">
    <w:name w:val="eRomanSubList Char"/>
    <w:link w:val="eRomanSubList"/>
    <w:rsid w:val="00A60759"/>
    <w:rPr>
      <w:sz w:val="24"/>
      <w:szCs w:val="24"/>
      <w:lang w:eastAsia="en-US"/>
    </w:rPr>
  </w:style>
  <w:style w:type="paragraph" w:styleId="Header">
    <w:name w:val="header"/>
    <w:aliases w:val="zzPageHeader"/>
    <w:basedOn w:val="Normal"/>
    <w:link w:val="HeaderChar"/>
    <w:uiPriority w:val="99"/>
    <w:qFormat/>
    <w:rsid w:val="00A60759"/>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A60759"/>
    <w:rPr>
      <w:color w:val="0000FF"/>
      <w:sz w:val="28"/>
      <w:szCs w:val="28"/>
    </w:rPr>
  </w:style>
  <w:style w:type="paragraph" w:styleId="Footer">
    <w:name w:val="footer"/>
    <w:aliases w:val="zzFooter"/>
    <w:basedOn w:val="Header"/>
    <w:link w:val="FooterChar"/>
    <w:uiPriority w:val="99"/>
    <w:qFormat/>
    <w:rsid w:val="00A60759"/>
    <w:rPr>
      <w:sz w:val="22"/>
      <w:szCs w:val="22"/>
    </w:rPr>
  </w:style>
  <w:style w:type="character" w:customStyle="1" w:styleId="FooterChar">
    <w:name w:val="Footer Char"/>
    <w:aliases w:val="zzFooter Char"/>
    <w:basedOn w:val="DefaultParagraphFont"/>
    <w:link w:val="Footer"/>
    <w:uiPriority w:val="99"/>
    <w:rsid w:val="00A60759"/>
    <w:rPr>
      <w:color w:val="0000FF"/>
      <w:sz w:val="22"/>
      <w:szCs w:val="22"/>
    </w:rPr>
  </w:style>
  <w:style w:type="character" w:styleId="FootnoteReference">
    <w:name w:val="footnote reference"/>
    <w:basedOn w:val="DefaultParagraphFont"/>
    <w:rsid w:val="00A60759"/>
    <w:rPr>
      <w:vertAlign w:val="superscript"/>
    </w:rPr>
  </w:style>
  <w:style w:type="paragraph" w:styleId="FootnoteText">
    <w:name w:val="footnote text"/>
    <w:basedOn w:val="Normal"/>
    <w:link w:val="FootnoteTextChar"/>
    <w:qFormat/>
    <w:rsid w:val="00A60759"/>
    <w:rPr>
      <w:i/>
      <w:color w:val="404040" w:themeColor="text1" w:themeTint="BF"/>
      <w:sz w:val="22"/>
      <w:szCs w:val="20"/>
    </w:rPr>
  </w:style>
  <w:style w:type="character" w:customStyle="1" w:styleId="FootnoteTextChar">
    <w:name w:val="Footnote Text Char"/>
    <w:basedOn w:val="DefaultParagraphFont"/>
    <w:link w:val="FootnoteText"/>
    <w:rsid w:val="00A60759"/>
    <w:rPr>
      <w:i/>
      <w:color w:val="404040" w:themeColor="text1" w:themeTint="BF"/>
      <w:sz w:val="22"/>
    </w:rPr>
  </w:style>
  <w:style w:type="character" w:customStyle="1" w:styleId="Heading3Char">
    <w:name w:val="Heading 3 Char"/>
    <w:aliases w:val="cSectHeader Char"/>
    <w:basedOn w:val="DefaultParagraphFont"/>
    <w:link w:val="Heading3"/>
    <w:rsid w:val="00741EC5"/>
    <w:rPr>
      <w:sz w:val="24"/>
      <w:szCs w:val="24"/>
      <w:lang w:eastAsia="en-US"/>
    </w:rPr>
  </w:style>
  <w:style w:type="character" w:customStyle="1" w:styleId="Heading4Char">
    <w:name w:val="Heading 4 Char"/>
    <w:basedOn w:val="DefaultParagraphFont"/>
    <w:link w:val="Heading4"/>
    <w:rsid w:val="00A60759"/>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A60759"/>
    <w:rPr>
      <w:b/>
      <w:sz w:val="28"/>
      <w:szCs w:val="28"/>
      <w:lang w:eastAsia="en-US"/>
    </w:rPr>
  </w:style>
  <w:style w:type="character" w:customStyle="1" w:styleId="Heading5Char">
    <w:name w:val="Heading 5 Char"/>
    <w:basedOn w:val="DefaultParagraphFont"/>
    <w:link w:val="Heading5"/>
    <w:semiHidden/>
    <w:rsid w:val="00A60759"/>
    <w:rPr>
      <w:rFonts w:asciiTheme="majorHAnsi" w:eastAsiaTheme="majorEastAsia" w:hAnsiTheme="majorHAnsi" w:cstheme="majorBidi"/>
      <w:color w:val="243F60" w:themeColor="accent1" w:themeShade="7F"/>
      <w:sz w:val="24"/>
      <w:szCs w:val="24"/>
    </w:rPr>
  </w:style>
  <w:style w:type="character" w:styleId="Hyperlink">
    <w:name w:val="Hyperlink"/>
    <w:uiPriority w:val="99"/>
    <w:qFormat/>
    <w:rsid w:val="00A60759"/>
    <w:rPr>
      <w:i/>
      <w:color w:val="0000FF"/>
      <w:u w:val="single"/>
    </w:rPr>
  </w:style>
  <w:style w:type="table" w:styleId="LightList-Accent2">
    <w:name w:val="Light List Accent 2"/>
    <w:basedOn w:val="TableNormal"/>
    <w:uiPriority w:val="61"/>
    <w:rsid w:val="00A60759"/>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A6075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link w:val="ListParagraphChar"/>
    <w:uiPriority w:val="34"/>
    <w:rsid w:val="00A60759"/>
    <w:pPr>
      <w:numPr>
        <w:numId w:val="9"/>
      </w:numPr>
      <w:tabs>
        <w:tab w:val="left" w:pos="426"/>
      </w:tabs>
    </w:pPr>
  </w:style>
  <w:style w:type="character" w:customStyle="1" w:styleId="ListParagraphChar">
    <w:name w:val="List Paragraph Char"/>
    <w:link w:val="ListParagraph"/>
    <w:uiPriority w:val="34"/>
    <w:rsid w:val="00A60759"/>
    <w:rPr>
      <w:color w:val="000000"/>
      <w:sz w:val="24"/>
      <w:szCs w:val="24"/>
    </w:rPr>
  </w:style>
  <w:style w:type="paragraph" w:styleId="NoSpacing">
    <w:name w:val="No Spacing"/>
    <w:uiPriority w:val="1"/>
    <w:rsid w:val="00A60759"/>
    <w:pPr>
      <w:spacing w:after="120"/>
    </w:pPr>
    <w:rPr>
      <w:color w:val="000000"/>
      <w:sz w:val="24"/>
      <w:szCs w:val="24"/>
      <w:lang w:eastAsia="en-US"/>
    </w:rPr>
  </w:style>
  <w:style w:type="paragraph" w:styleId="NormalWeb">
    <w:name w:val="Normal (Web)"/>
    <w:basedOn w:val="Normal"/>
    <w:rsid w:val="00A60759"/>
    <w:pPr>
      <w:spacing w:before="100" w:beforeAutospacing="1" w:after="100" w:afterAutospacing="1"/>
    </w:pPr>
    <w:rPr>
      <w:rFonts w:ascii="Arial Unicode MS" w:eastAsia="Arial Unicode MS" w:hAnsi="Arial Unicode MS" w:cs="Arial Unicode MS"/>
    </w:rPr>
  </w:style>
  <w:style w:type="character" w:styleId="PageNumber">
    <w:name w:val="page number"/>
    <w:rsid w:val="00A60759"/>
    <w:rPr>
      <w:rFonts w:ascii="Arial" w:hAnsi="Arial"/>
      <w:sz w:val="18"/>
    </w:rPr>
  </w:style>
  <w:style w:type="paragraph" w:styleId="Quote">
    <w:name w:val="Quote"/>
    <w:basedOn w:val="Normal"/>
    <w:next w:val="Normal"/>
    <w:link w:val="QuoteChar"/>
    <w:uiPriority w:val="29"/>
    <w:qFormat/>
    <w:rsid w:val="00A60759"/>
    <w:rPr>
      <w:i/>
    </w:rPr>
  </w:style>
  <w:style w:type="character" w:customStyle="1" w:styleId="QuoteChar">
    <w:name w:val="Quote Char"/>
    <w:link w:val="Quote"/>
    <w:uiPriority w:val="29"/>
    <w:rsid w:val="00A60759"/>
    <w:rPr>
      <w:i/>
      <w:color w:val="000000"/>
      <w:sz w:val="24"/>
      <w:szCs w:val="24"/>
    </w:rPr>
  </w:style>
  <w:style w:type="numbering" w:customStyle="1" w:styleId="StyleBulletedSymbolsymbolLeft063cmHanging063cm">
    <w:name w:val="Style Bulleted Symbol (symbol) Left:  0.63 cm Hanging:  0.63 cm"/>
    <w:basedOn w:val="NoList"/>
    <w:rsid w:val="00A60759"/>
    <w:pPr>
      <w:numPr>
        <w:numId w:val="8"/>
      </w:numPr>
    </w:pPr>
  </w:style>
  <w:style w:type="numbering" w:customStyle="1" w:styleId="StyleNumberedLeft0cmHanging075cm">
    <w:name w:val="Style Numbered Left:  0 cm Hanging:  0.75 cm"/>
    <w:basedOn w:val="NoList"/>
    <w:rsid w:val="00A60759"/>
    <w:pPr>
      <w:numPr>
        <w:numId w:val="9"/>
      </w:numPr>
    </w:pPr>
  </w:style>
  <w:style w:type="table" w:styleId="Table3Deffects1">
    <w:name w:val="Table 3D effects 1"/>
    <w:basedOn w:val="TableNormal"/>
    <w:rsid w:val="00A6075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6075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A60759"/>
    <w:pPr>
      <w:numPr>
        <w:numId w:val="0"/>
      </w:numPr>
    </w:pPr>
    <w:rPr>
      <w:bCs w:val="0"/>
      <w:szCs w:val="20"/>
    </w:rPr>
  </w:style>
  <w:style w:type="table" w:styleId="TableGrid">
    <w:name w:val="Table Grid"/>
    <w:basedOn w:val="TableNormal"/>
    <w:rsid w:val="00A6075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A6075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A60759"/>
    <w:pPr>
      <w:spacing w:before="120"/>
    </w:pPr>
    <w:rPr>
      <w:rFonts w:ascii="Cambria" w:hAnsi="Cambria"/>
      <w:b/>
      <w:bCs/>
    </w:rPr>
  </w:style>
  <w:style w:type="paragraph" w:styleId="TOC1">
    <w:name w:val="toc 1"/>
    <w:basedOn w:val="Normal"/>
    <w:next w:val="Normal"/>
    <w:autoRedefine/>
    <w:uiPriority w:val="39"/>
    <w:qFormat/>
    <w:rsid w:val="00320138"/>
    <w:pPr>
      <w:tabs>
        <w:tab w:val="right" w:leader="dot" w:pos="9016"/>
      </w:tabs>
      <w:spacing w:after="100"/>
      <w:ind w:left="1134" w:hanging="567"/>
    </w:pPr>
    <w:rPr>
      <w:noProof/>
      <w:color w:val="0000FF"/>
    </w:rPr>
  </w:style>
  <w:style w:type="paragraph" w:styleId="TOC2">
    <w:name w:val="toc 2"/>
    <w:basedOn w:val="TOC1"/>
    <w:next w:val="Normal"/>
    <w:autoRedefine/>
    <w:uiPriority w:val="39"/>
    <w:qFormat/>
    <w:rsid w:val="00A60759"/>
  </w:style>
  <w:style w:type="paragraph" w:styleId="TOC3">
    <w:name w:val="toc 3"/>
    <w:basedOn w:val="Normal"/>
    <w:next w:val="Normal"/>
    <w:autoRedefine/>
    <w:uiPriority w:val="39"/>
    <w:rsid w:val="00A60759"/>
    <w:pPr>
      <w:spacing w:after="100"/>
      <w:ind w:left="480"/>
    </w:pPr>
  </w:style>
  <w:style w:type="paragraph" w:styleId="TOCHeading">
    <w:name w:val="TOC Heading"/>
    <w:basedOn w:val="Heading1"/>
    <w:next w:val="Normal"/>
    <w:uiPriority w:val="39"/>
    <w:semiHidden/>
    <w:unhideWhenUsed/>
    <w:qFormat/>
    <w:rsid w:val="00A60759"/>
    <w:pPr>
      <w:keepNext/>
      <w:keepLines/>
      <w:spacing w:before="480" w:line="276" w:lineRule="auto"/>
      <w:ind w:left="0" w:firstLine="0"/>
      <w:outlineLvl w:val="9"/>
    </w:pPr>
    <w:rPr>
      <w:rFonts w:asciiTheme="majorHAnsi" w:eastAsiaTheme="majorEastAsia" w:hAnsiTheme="majorHAnsi" w:cstheme="majorBidi"/>
      <w:bCs/>
      <w:color w:val="365F91"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9223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5434-1111-465A-AEC1-85C5D6B7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3885</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4</cp:revision>
  <cp:lastPrinted>2015-07-03T12:50:00Z</cp:lastPrinted>
  <dcterms:created xsi:type="dcterms:W3CDTF">2020-07-13T14:42:00Z</dcterms:created>
  <dcterms:modified xsi:type="dcterms:W3CDTF">2024-11-26T19:41:00Z</dcterms:modified>
</cp:coreProperties>
</file>