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5C43"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321E906" w14:textId="77777777" w:rsidTr="005F7F7E">
        <w:tc>
          <w:tcPr>
            <w:tcW w:w="2438" w:type="dxa"/>
            <w:shd w:val="clear" w:color="auto" w:fill="auto"/>
          </w:tcPr>
          <w:p w14:paraId="535F5187"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0AC7840F" w14:textId="77777777" w:rsidR="00F445B1" w:rsidRPr="00F95BC9" w:rsidRDefault="00DB7AD7" w:rsidP="004A6D2F">
            <w:pPr>
              <w:rPr>
                <w:rStyle w:val="Firstpagetablebold"/>
              </w:rPr>
            </w:pPr>
            <w:r>
              <w:rPr>
                <w:rStyle w:val="Firstpagetablebold"/>
              </w:rPr>
              <w:t>Cabinet</w:t>
            </w:r>
          </w:p>
        </w:tc>
      </w:tr>
      <w:tr w:rsidR="00CE544A" w:rsidRPr="00975B07" w14:paraId="4FEFABE8" w14:textId="77777777" w:rsidTr="005F7F7E">
        <w:tc>
          <w:tcPr>
            <w:tcW w:w="2438" w:type="dxa"/>
            <w:shd w:val="clear" w:color="auto" w:fill="auto"/>
          </w:tcPr>
          <w:p w14:paraId="66F56025"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6E766AE4" w14:textId="50C31B4A" w:rsidR="00F445B1" w:rsidRPr="001356F1" w:rsidRDefault="006E6681" w:rsidP="007B5CA2">
            <w:pPr>
              <w:rPr>
                <w:b/>
              </w:rPr>
            </w:pPr>
            <w:r>
              <w:rPr>
                <w:rStyle w:val="Firstpagetablebold"/>
              </w:rPr>
              <w:t>13</w:t>
            </w:r>
            <w:r w:rsidRPr="006E6681">
              <w:rPr>
                <w:rStyle w:val="Firstpagetablebold"/>
                <w:vertAlign w:val="superscript"/>
              </w:rPr>
              <w:t>th</w:t>
            </w:r>
            <w:r>
              <w:rPr>
                <w:rStyle w:val="Firstpagetablebold"/>
              </w:rPr>
              <w:t xml:space="preserve"> November 2024</w:t>
            </w:r>
          </w:p>
        </w:tc>
      </w:tr>
      <w:tr w:rsidR="00CE544A" w:rsidRPr="00975B07" w14:paraId="712929B6" w14:textId="77777777" w:rsidTr="005F7F7E">
        <w:tc>
          <w:tcPr>
            <w:tcW w:w="2438" w:type="dxa"/>
            <w:shd w:val="clear" w:color="auto" w:fill="auto"/>
          </w:tcPr>
          <w:p w14:paraId="38A2BF8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569A1BCB" w14:textId="1ACC87D1" w:rsidR="00F445B1" w:rsidRPr="001356F1" w:rsidRDefault="00944537" w:rsidP="004A6D2F">
            <w:pPr>
              <w:rPr>
                <w:rStyle w:val="Firstpagetablebold"/>
              </w:rPr>
            </w:pPr>
            <w:r>
              <w:rPr>
                <w:rStyle w:val="Firstpagetablebold"/>
              </w:rPr>
              <w:t>Nigel Kennedy</w:t>
            </w:r>
          </w:p>
        </w:tc>
      </w:tr>
      <w:tr w:rsidR="00CE544A" w:rsidRPr="00975B07" w14:paraId="45C22BB6" w14:textId="77777777" w:rsidTr="005F7F7E">
        <w:tc>
          <w:tcPr>
            <w:tcW w:w="2438" w:type="dxa"/>
            <w:shd w:val="clear" w:color="auto" w:fill="auto"/>
          </w:tcPr>
          <w:p w14:paraId="53322BB1"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46C319D0" w14:textId="57FABB8F" w:rsidR="00F445B1" w:rsidRPr="001356F1" w:rsidRDefault="00AA16B0" w:rsidP="004A6D2F">
            <w:pPr>
              <w:rPr>
                <w:rStyle w:val="Firstpagetablebold"/>
              </w:rPr>
            </w:pPr>
            <w:r>
              <w:rPr>
                <w:rStyle w:val="Firstpagetablebold"/>
              </w:rPr>
              <w:t>Debt Management Report</w:t>
            </w:r>
          </w:p>
        </w:tc>
      </w:tr>
    </w:tbl>
    <w:p w14:paraId="4513B537"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14:paraId="68599673" w14:textId="77777777" w:rsidTr="0080749A">
        <w:tc>
          <w:tcPr>
            <w:tcW w:w="8845" w:type="dxa"/>
            <w:gridSpan w:val="2"/>
            <w:tcBorders>
              <w:bottom w:val="single" w:sz="8" w:space="0" w:color="000000"/>
            </w:tcBorders>
            <w:hideMark/>
          </w:tcPr>
          <w:p w14:paraId="201BDF7E"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0C77AFFD" w14:textId="77777777" w:rsidTr="0080749A">
        <w:tc>
          <w:tcPr>
            <w:tcW w:w="2438" w:type="dxa"/>
            <w:tcBorders>
              <w:top w:val="single" w:sz="8" w:space="0" w:color="000000"/>
              <w:left w:val="single" w:sz="8" w:space="0" w:color="000000"/>
              <w:bottom w:val="nil"/>
              <w:right w:val="nil"/>
            </w:tcBorders>
            <w:hideMark/>
          </w:tcPr>
          <w:p w14:paraId="4FEDA406"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6ABA69BF" w14:textId="27DAD722" w:rsidR="00D5547E" w:rsidRPr="001356F1" w:rsidRDefault="003C77E3" w:rsidP="00DB7AD7">
            <w:r w:rsidRPr="003C77E3">
              <w:t>To seek the approval and formal adoption of the revised Oxford City Corporate Debt Management Policy.</w:t>
            </w:r>
          </w:p>
        </w:tc>
      </w:tr>
      <w:tr w:rsidR="00D5547E" w14:paraId="3794E2CA" w14:textId="77777777" w:rsidTr="0080749A">
        <w:tc>
          <w:tcPr>
            <w:tcW w:w="2438" w:type="dxa"/>
            <w:tcBorders>
              <w:top w:val="nil"/>
              <w:left w:val="single" w:sz="8" w:space="0" w:color="000000"/>
              <w:bottom w:val="nil"/>
              <w:right w:val="nil"/>
            </w:tcBorders>
            <w:hideMark/>
          </w:tcPr>
          <w:p w14:paraId="66A72A17"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3606A280" w14:textId="0EF65E6C" w:rsidR="00D5547E" w:rsidRPr="001356F1" w:rsidRDefault="00D5547E" w:rsidP="005F7F7E">
            <w:r w:rsidRPr="00BC200B">
              <w:rPr>
                <w:color w:val="FF0000"/>
              </w:rPr>
              <w:t>No</w:t>
            </w:r>
          </w:p>
        </w:tc>
      </w:tr>
      <w:tr w:rsidR="00D5547E" w14:paraId="72688083" w14:textId="77777777" w:rsidTr="0080749A">
        <w:tc>
          <w:tcPr>
            <w:tcW w:w="2438" w:type="dxa"/>
            <w:tcBorders>
              <w:top w:val="nil"/>
              <w:left w:val="single" w:sz="8" w:space="0" w:color="000000"/>
              <w:bottom w:val="nil"/>
              <w:right w:val="nil"/>
            </w:tcBorders>
            <w:hideMark/>
          </w:tcPr>
          <w:p w14:paraId="65CD3480"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tcBorders>
              <w:top w:val="nil"/>
              <w:left w:val="nil"/>
              <w:bottom w:val="nil"/>
              <w:right w:val="single" w:sz="8" w:space="0" w:color="000000"/>
            </w:tcBorders>
            <w:hideMark/>
          </w:tcPr>
          <w:p w14:paraId="0C63F988" w14:textId="2CE1BE24" w:rsidR="00D5547E" w:rsidRPr="001356F1" w:rsidRDefault="00D5547E" w:rsidP="005F7F7E">
            <w:r w:rsidRPr="001356F1">
              <w:t>Councillor</w:t>
            </w:r>
            <w:r w:rsidR="00DD1A5F">
              <w:t>s Chapman and Turner</w:t>
            </w:r>
          </w:p>
        </w:tc>
      </w:tr>
      <w:tr w:rsidR="0080749A" w14:paraId="5EF6338A" w14:textId="77777777" w:rsidTr="0097170F">
        <w:tc>
          <w:tcPr>
            <w:tcW w:w="2438" w:type="dxa"/>
            <w:tcBorders>
              <w:top w:val="nil"/>
              <w:left w:val="single" w:sz="8" w:space="0" w:color="000000"/>
              <w:bottom w:val="nil"/>
              <w:right w:val="nil"/>
            </w:tcBorders>
          </w:tcPr>
          <w:p w14:paraId="2E1724F1"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48F0F510" w14:textId="77777777" w:rsidR="0080749A" w:rsidRPr="001356F1" w:rsidRDefault="00BC200B" w:rsidP="005F7F7E">
            <w:r>
              <w:t>Relevant</w:t>
            </w:r>
            <w:r w:rsidR="0080749A" w:rsidRPr="001356F1">
              <w:t xml:space="preserve"> Corporate Plan priorities or state ‘none’.</w:t>
            </w:r>
          </w:p>
        </w:tc>
      </w:tr>
      <w:tr w:rsidR="00D5547E" w14:paraId="6FF92360" w14:textId="77777777" w:rsidTr="0097170F">
        <w:tc>
          <w:tcPr>
            <w:tcW w:w="2438" w:type="dxa"/>
            <w:tcBorders>
              <w:top w:val="nil"/>
              <w:left w:val="single" w:sz="8" w:space="0" w:color="000000"/>
              <w:bottom w:val="single" w:sz="4" w:space="0" w:color="auto"/>
              <w:right w:val="nil"/>
            </w:tcBorders>
            <w:hideMark/>
          </w:tcPr>
          <w:p w14:paraId="26240EF9" w14:textId="77777777" w:rsidR="00D5547E" w:rsidRDefault="00D5547E">
            <w:pPr>
              <w:rPr>
                <w:rStyle w:val="Firstpagetablebold"/>
              </w:rPr>
            </w:pPr>
            <w:r>
              <w:rPr>
                <w:rStyle w:val="Firstpagetablebold"/>
              </w:rPr>
              <w:t>Policy Framework:</w:t>
            </w:r>
          </w:p>
        </w:tc>
        <w:tc>
          <w:tcPr>
            <w:tcW w:w="6407" w:type="dxa"/>
            <w:tcBorders>
              <w:top w:val="nil"/>
              <w:left w:val="nil"/>
              <w:bottom w:val="single" w:sz="4" w:space="0" w:color="auto"/>
              <w:right w:val="single" w:sz="8" w:space="0" w:color="000000"/>
            </w:tcBorders>
            <w:hideMark/>
          </w:tcPr>
          <w:p w14:paraId="505F3821" w14:textId="5DEA8D4C" w:rsidR="00D5547E" w:rsidRPr="001356F1" w:rsidRDefault="005E7761" w:rsidP="005F7F7E">
            <w:r w:rsidRPr="00290194">
              <w:t>Efficient and Effective Council</w:t>
            </w:r>
          </w:p>
        </w:tc>
      </w:tr>
    </w:tbl>
    <w:p w14:paraId="43CF0E77"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8419"/>
      </w:tblGrid>
      <w:tr w:rsidR="0097170F" w:rsidRPr="00975B07" w14:paraId="0DFAAD87" w14:textId="77777777" w:rsidTr="00FB6E8F">
        <w:trPr>
          <w:trHeight w:val="413"/>
        </w:trPr>
        <w:tc>
          <w:tcPr>
            <w:tcW w:w="8845" w:type="dxa"/>
            <w:gridSpan w:val="2"/>
            <w:tcBorders>
              <w:bottom w:val="single" w:sz="8" w:space="0" w:color="000000"/>
            </w:tcBorders>
          </w:tcPr>
          <w:p w14:paraId="796AB6FB" w14:textId="77777777" w:rsidR="0097170F" w:rsidRPr="00975B07" w:rsidRDefault="0097170F" w:rsidP="00FB6E8F">
            <w:r>
              <w:rPr>
                <w:rStyle w:val="Firstpagetablebold"/>
              </w:rPr>
              <w:t>Recommendation(s):</w:t>
            </w:r>
            <w:r w:rsidRPr="008954DF">
              <w:rPr>
                <w:rStyle w:val="Firstpagetablebold"/>
                <w:b w:val="0"/>
              </w:rPr>
              <w:t>That Cabinet resolves to:</w:t>
            </w:r>
          </w:p>
        </w:tc>
      </w:tr>
      <w:tr w:rsidR="003205AB" w:rsidRPr="00975B07" w14:paraId="0F781ACE" w14:textId="77777777" w:rsidTr="00FB6E8F">
        <w:trPr>
          <w:trHeight w:val="283"/>
        </w:trPr>
        <w:tc>
          <w:tcPr>
            <w:tcW w:w="426" w:type="dxa"/>
            <w:tcBorders>
              <w:top w:val="single" w:sz="8" w:space="0" w:color="000000"/>
              <w:left w:val="single" w:sz="8" w:space="0" w:color="000000"/>
              <w:bottom w:val="nil"/>
              <w:right w:val="nil"/>
            </w:tcBorders>
          </w:tcPr>
          <w:p w14:paraId="64DFCEB6" w14:textId="33B843CB" w:rsidR="003205AB" w:rsidRPr="00975B07" w:rsidRDefault="00F3708B" w:rsidP="003205AB">
            <w:r>
              <w:rPr>
                <w:rFonts w:cs="Arial"/>
              </w:rPr>
              <w:t>1.</w:t>
            </w:r>
          </w:p>
        </w:tc>
        <w:tc>
          <w:tcPr>
            <w:tcW w:w="8419" w:type="dxa"/>
            <w:tcBorders>
              <w:top w:val="single" w:sz="8" w:space="0" w:color="000000"/>
              <w:left w:val="nil"/>
              <w:bottom w:val="nil"/>
              <w:right w:val="single" w:sz="8" w:space="0" w:color="000000"/>
            </w:tcBorders>
            <w:shd w:val="clear" w:color="auto" w:fill="auto"/>
          </w:tcPr>
          <w:p w14:paraId="7909FE92" w14:textId="0FC76010" w:rsidR="003205AB" w:rsidRPr="001356F1" w:rsidRDefault="003205AB" w:rsidP="003205AB">
            <w:r w:rsidRPr="00C84C41">
              <w:rPr>
                <w:rFonts w:cs="Arial"/>
              </w:rPr>
              <w:t>Approve the Debt Management Policy, as set out in Appendix A attached.</w:t>
            </w:r>
          </w:p>
        </w:tc>
      </w:tr>
      <w:tr w:rsidR="00F3708B" w:rsidRPr="00975B07" w14:paraId="0D12D80C" w14:textId="77777777" w:rsidTr="00FB6E8F">
        <w:trPr>
          <w:trHeight w:val="283"/>
        </w:trPr>
        <w:tc>
          <w:tcPr>
            <w:tcW w:w="426" w:type="dxa"/>
            <w:tcBorders>
              <w:top w:val="nil"/>
              <w:left w:val="single" w:sz="8" w:space="0" w:color="000000"/>
              <w:bottom w:val="nil"/>
              <w:right w:val="nil"/>
            </w:tcBorders>
          </w:tcPr>
          <w:p w14:paraId="0DA91CBE" w14:textId="77777777" w:rsidR="00F3708B" w:rsidRPr="00975B07" w:rsidRDefault="00F3708B" w:rsidP="00FB6E8F">
            <w:r w:rsidRPr="00975B07">
              <w:t>2.</w:t>
            </w:r>
          </w:p>
        </w:tc>
        <w:tc>
          <w:tcPr>
            <w:tcW w:w="8419" w:type="dxa"/>
            <w:tcBorders>
              <w:top w:val="nil"/>
              <w:left w:val="nil"/>
              <w:bottom w:val="nil"/>
              <w:right w:val="single" w:sz="8" w:space="0" w:color="000000"/>
            </w:tcBorders>
            <w:shd w:val="clear" w:color="auto" w:fill="auto"/>
          </w:tcPr>
          <w:p w14:paraId="2BC05893" w14:textId="26942541" w:rsidR="00F3708B" w:rsidRPr="001356F1" w:rsidRDefault="00F3708B" w:rsidP="00FB6E8F"/>
        </w:tc>
      </w:tr>
      <w:tr w:rsidR="00F3708B" w:rsidRPr="00975B07" w14:paraId="1298E692" w14:textId="77777777" w:rsidTr="00FB6E8F">
        <w:trPr>
          <w:trHeight w:val="283"/>
        </w:trPr>
        <w:tc>
          <w:tcPr>
            <w:tcW w:w="426" w:type="dxa"/>
            <w:tcBorders>
              <w:top w:val="nil"/>
              <w:left w:val="single" w:sz="8" w:space="0" w:color="000000"/>
              <w:bottom w:val="nil"/>
              <w:right w:val="nil"/>
            </w:tcBorders>
          </w:tcPr>
          <w:p w14:paraId="26F6F344" w14:textId="77777777" w:rsidR="00F3708B" w:rsidRPr="00975B07" w:rsidRDefault="00F3708B" w:rsidP="00FB6E8F">
            <w:r w:rsidRPr="00975B07">
              <w:t>3.</w:t>
            </w:r>
          </w:p>
        </w:tc>
        <w:tc>
          <w:tcPr>
            <w:tcW w:w="8419" w:type="dxa"/>
            <w:tcBorders>
              <w:top w:val="nil"/>
              <w:left w:val="nil"/>
              <w:bottom w:val="nil"/>
              <w:right w:val="single" w:sz="8" w:space="0" w:color="000000"/>
            </w:tcBorders>
            <w:shd w:val="clear" w:color="auto" w:fill="auto"/>
          </w:tcPr>
          <w:p w14:paraId="6ADF464D" w14:textId="1C6602AF" w:rsidR="00F3708B" w:rsidRPr="001356F1" w:rsidRDefault="00F3708B" w:rsidP="00FB6E8F"/>
        </w:tc>
      </w:tr>
      <w:tr w:rsidR="00F3708B" w:rsidRPr="00975B07" w14:paraId="57169CD4" w14:textId="77777777" w:rsidTr="00FB6E8F">
        <w:trPr>
          <w:trHeight w:val="283"/>
        </w:trPr>
        <w:tc>
          <w:tcPr>
            <w:tcW w:w="426" w:type="dxa"/>
            <w:tcBorders>
              <w:top w:val="nil"/>
              <w:left w:val="single" w:sz="8" w:space="0" w:color="000000"/>
              <w:bottom w:val="nil"/>
              <w:right w:val="nil"/>
            </w:tcBorders>
          </w:tcPr>
          <w:p w14:paraId="0ED2266A" w14:textId="77777777" w:rsidR="00F3708B" w:rsidRPr="00975B07" w:rsidRDefault="00F3708B" w:rsidP="00FB6E8F">
            <w:r w:rsidRPr="00975B07">
              <w:t>4.</w:t>
            </w:r>
          </w:p>
        </w:tc>
        <w:tc>
          <w:tcPr>
            <w:tcW w:w="8419" w:type="dxa"/>
            <w:tcBorders>
              <w:top w:val="nil"/>
              <w:left w:val="nil"/>
              <w:bottom w:val="nil"/>
              <w:right w:val="single" w:sz="8" w:space="0" w:color="000000"/>
            </w:tcBorders>
            <w:shd w:val="clear" w:color="auto" w:fill="auto"/>
          </w:tcPr>
          <w:p w14:paraId="2F186CE7" w14:textId="1081C5C6" w:rsidR="00F3708B" w:rsidRPr="001356F1" w:rsidRDefault="00F3708B" w:rsidP="00FB6E8F"/>
        </w:tc>
      </w:tr>
      <w:tr w:rsidR="00F3708B" w:rsidRPr="00975B07" w14:paraId="15BC7058" w14:textId="77777777" w:rsidTr="00FB6E8F">
        <w:trPr>
          <w:trHeight w:val="283"/>
        </w:trPr>
        <w:tc>
          <w:tcPr>
            <w:tcW w:w="426" w:type="dxa"/>
            <w:tcBorders>
              <w:top w:val="nil"/>
              <w:left w:val="single" w:sz="8" w:space="0" w:color="000000"/>
              <w:bottom w:val="single" w:sz="8" w:space="0" w:color="000000"/>
              <w:right w:val="nil"/>
            </w:tcBorders>
          </w:tcPr>
          <w:p w14:paraId="198B52BA" w14:textId="77777777" w:rsidR="00F3708B" w:rsidRPr="00975B07" w:rsidRDefault="00F3708B" w:rsidP="00FB6E8F">
            <w:r w:rsidRPr="00975B07">
              <w:t>5.</w:t>
            </w:r>
          </w:p>
        </w:tc>
        <w:tc>
          <w:tcPr>
            <w:tcW w:w="8419" w:type="dxa"/>
            <w:tcBorders>
              <w:top w:val="nil"/>
              <w:left w:val="nil"/>
              <w:bottom w:val="single" w:sz="8" w:space="0" w:color="000000"/>
              <w:right w:val="single" w:sz="8" w:space="0" w:color="000000"/>
            </w:tcBorders>
            <w:shd w:val="clear" w:color="auto" w:fill="auto"/>
          </w:tcPr>
          <w:p w14:paraId="10F157A8" w14:textId="5D8CFA5F" w:rsidR="00F3708B" w:rsidRPr="001356F1" w:rsidRDefault="00F3708B" w:rsidP="00FB6E8F"/>
        </w:tc>
      </w:tr>
    </w:tbl>
    <w:p w14:paraId="792EAF2A" w14:textId="77777777" w:rsidR="0097170F" w:rsidRPr="009E51FC" w:rsidRDefault="0097170F"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7C1486EC"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0F02DE3D" w14:textId="77777777" w:rsidR="00966D42" w:rsidRPr="00975B07" w:rsidRDefault="00966D42" w:rsidP="00263EA3">
            <w:pPr>
              <w:jc w:val="center"/>
            </w:pPr>
            <w:r w:rsidRPr="00745BF0">
              <w:rPr>
                <w:rStyle w:val="Firstpagetablebold"/>
              </w:rPr>
              <w:t>Appendices</w:t>
            </w:r>
          </w:p>
        </w:tc>
      </w:tr>
      <w:tr w:rsidR="00ED5860" w:rsidRPr="00975B07" w14:paraId="0F10A0AC" w14:textId="77777777" w:rsidTr="00A46E98">
        <w:tc>
          <w:tcPr>
            <w:tcW w:w="2438" w:type="dxa"/>
            <w:tcBorders>
              <w:top w:val="single" w:sz="8" w:space="0" w:color="000000"/>
              <w:left w:val="single" w:sz="8" w:space="0" w:color="000000"/>
              <w:bottom w:val="nil"/>
              <w:right w:val="nil"/>
            </w:tcBorders>
            <w:shd w:val="clear" w:color="auto" w:fill="auto"/>
          </w:tcPr>
          <w:p w14:paraId="3A8917DA" w14:textId="77777777" w:rsidR="00ED5860" w:rsidRPr="00975B07" w:rsidRDefault="00ED5860" w:rsidP="004A6D2F">
            <w:r w:rsidRPr="00975B07">
              <w:t>Appendix 1</w:t>
            </w:r>
          </w:p>
        </w:tc>
        <w:tc>
          <w:tcPr>
            <w:tcW w:w="6406" w:type="dxa"/>
            <w:tcBorders>
              <w:top w:val="single" w:sz="8" w:space="0" w:color="000000"/>
              <w:left w:val="nil"/>
              <w:bottom w:val="nil"/>
              <w:right w:val="single" w:sz="8" w:space="0" w:color="000000"/>
            </w:tcBorders>
          </w:tcPr>
          <w:p w14:paraId="3864D372" w14:textId="10E125F0" w:rsidR="00ED5860" w:rsidRPr="001356F1" w:rsidRDefault="006F03D5" w:rsidP="004A6D2F">
            <w:r>
              <w:t>Revised Corporate Debt Policy</w:t>
            </w:r>
          </w:p>
        </w:tc>
      </w:tr>
      <w:tr w:rsidR="00ED5860" w:rsidRPr="00975B07" w14:paraId="44E57F0E" w14:textId="77777777" w:rsidTr="00A46E98">
        <w:tc>
          <w:tcPr>
            <w:tcW w:w="2438" w:type="dxa"/>
            <w:tcBorders>
              <w:top w:val="nil"/>
              <w:left w:val="single" w:sz="8" w:space="0" w:color="000000"/>
              <w:bottom w:val="nil"/>
              <w:right w:val="nil"/>
            </w:tcBorders>
            <w:shd w:val="clear" w:color="auto" w:fill="auto"/>
          </w:tcPr>
          <w:p w14:paraId="0BF09B50" w14:textId="77777777" w:rsidR="00ED5860" w:rsidRPr="00975B07" w:rsidRDefault="0030208D" w:rsidP="004A6D2F">
            <w:r w:rsidRPr="00975B07">
              <w:t>Appendix 2</w:t>
            </w:r>
          </w:p>
        </w:tc>
        <w:tc>
          <w:tcPr>
            <w:tcW w:w="6406" w:type="dxa"/>
            <w:tcBorders>
              <w:top w:val="nil"/>
              <w:left w:val="nil"/>
              <w:bottom w:val="nil"/>
              <w:right w:val="single" w:sz="8" w:space="0" w:color="000000"/>
            </w:tcBorders>
          </w:tcPr>
          <w:p w14:paraId="288301B7" w14:textId="5F786227" w:rsidR="00ED5860" w:rsidRPr="001356F1" w:rsidRDefault="00E22CF8" w:rsidP="004A6D2F">
            <w:r>
              <w:t>Eq</w:t>
            </w:r>
            <w:r w:rsidR="00591C46">
              <w:t xml:space="preserve">IA </w:t>
            </w:r>
            <w:r w:rsidR="00E27E60">
              <w:t>D</w:t>
            </w:r>
            <w:r w:rsidR="00591C46">
              <w:t>ocument</w:t>
            </w:r>
            <w:r w:rsidR="00E27E60">
              <w:t xml:space="preserve"> -</w:t>
            </w:r>
            <w:r w:rsidR="00591C46">
              <w:t xml:space="preserve"> Corporate Debt Policy</w:t>
            </w:r>
          </w:p>
        </w:tc>
      </w:tr>
      <w:tr w:rsidR="001B770B" w:rsidRPr="00975B07" w14:paraId="4E8FDA10" w14:textId="77777777" w:rsidTr="00A46E98">
        <w:tc>
          <w:tcPr>
            <w:tcW w:w="2438" w:type="dxa"/>
            <w:tcBorders>
              <w:top w:val="nil"/>
              <w:left w:val="single" w:sz="8" w:space="0" w:color="000000"/>
              <w:bottom w:val="nil"/>
              <w:right w:val="nil"/>
            </w:tcBorders>
            <w:shd w:val="clear" w:color="auto" w:fill="auto"/>
          </w:tcPr>
          <w:p w14:paraId="3348110E" w14:textId="0AA5E367" w:rsidR="001B770B" w:rsidRPr="00975B07" w:rsidRDefault="001B770B" w:rsidP="004A6D2F"/>
        </w:tc>
        <w:tc>
          <w:tcPr>
            <w:tcW w:w="6406" w:type="dxa"/>
            <w:tcBorders>
              <w:top w:val="nil"/>
              <w:left w:val="nil"/>
              <w:bottom w:val="nil"/>
              <w:right w:val="single" w:sz="8" w:space="0" w:color="000000"/>
            </w:tcBorders>
          </w:tcPr>
          <w:p w14:paraId="6EC31F2C" w14:textId="7BC689EA" w:rsidR="001B770B" w:rsidRPr="001356F1" w:rsidRDefault="001B770B" w:rsidP="004A6D2F"/>
        </w:tc>
      </w:tr>
      <w:tr w:rsidR="001B770B" w:rsidRPr="00975B07" w14:paraId="795150A5" w14:textId="77777777" w:rsidTr="00A46E98">
        <w:tc>
          <w:tcPr>
            <w:tcW w:w="2438" w:type="dxa"/>
            <w:tcBorders>
              <w:top w:val="nil"/>
              <w:left w:val="single" w:sz="8" w:space="0" w:color="000000"/>
              <w:bottom w:val="single" w:sz="8" w:space="0" w:color="000000"/>
              <w:right w:val="nil"/>
            </w:tcBorders>
            <w:shd w:val="clear" w:color="auto" w:fill="auto"/>
          </w:tcPr>
          <w:p w14:paraId="7FAD740C" w14:textId="51E547E6" w:rsidR="001B770B" w:rsidRPr="00975B07" w:rsidRDefault="001B770B" w:rsidP="004A6D2F"/>
        </w:tc>
        <w:tc>
          <w:tcPr>
            <w:tcW w:w="6406" w:type="dxa"/>
            <w:tcBorders>
              <w:top w:val="nil"/>
              <w:left w:val="nil"/>
              <w:bottom w:val="single" w:sz="8" w:space="0" w:color="000000"/>
              <w:right w:val="single" w:sz="8" w:space="0" w:color="000000"/>
            </w:tcBorders>
          </w:tcPr>
          <w:p w14:paraId="3C49E134" w14:textId="1911909B" w:rsidR="001B770B" w:rsidRPr="001356F1" w:rsidRDefault="001B770B" w:rsidP="004A6D2F"/>
        </w:tc>
      </w:tr>
    </w:tbl>
    <w:p w14:paraId="3F8FB218" w14:textId="447A946C" w:rsidR="0040736F" w:rsidRDefault="00C75867" w:rsidP="004A6D2F">
      <w:pPr>
        <w:pStyle w:val="Heading1"/>
      </w:pPr>
      <w:r>
        <w:t xml:space="preserve">1. </w:t>
      </w:r>
      <w:r w:rsidR="00F66DCA" w:rsidRPr="001356F1">
        <w:t>Introduction and b</w:t>
      </w:r>
      <w:r w:rsidR="00151888" w:rsidRPr="001356F1">
        <w:t>ackground</w:t>
      </w:r>
      <w:r w:rsidR="00404032" w:rsidRPr="001356F1">
        <w:t xml:space="preserve"> </w:t>
      </w:r>
    </w:p>
    <w:p w14:paraId="185747C7" w14:textId="77777777" w:rsidR="00C75867" w:rsidRPr="00C75867" w:rsidRDefault="00C75867" w:rsidP="00721E63">
      <w:pPr>
        <w:spacing w:after="0" w:line="259" w:lineRule="auto"/>
        <w:rPr>
          <w:color w:val="auto"/>
          <w:szCs w:val="20"/>
        </w:rPr>
      </w:pPr>
      <w:r w:rsidRPr="00C75867">
        <w:t>1.1. The Council’s income is diverse in nature ranging from low value debts for one-off items, significant value debts for potentially re-occurring items such as</w:t>
      </w:r>
      <w:r w:rsidRPr="00C75867">
        <w:rPr>
          <w:color w:val="auto"/>
          <w:szCs w:val="20"/>
        </w:rPr>
        <w:t xml:space="preserve"> overpaid housing benefits, to business rates, council tax and council house rents. </w:t>
      </w:r>
    </w:p>
    <w:p w14:paraId="67695590" w14:textId="77777777" w:rsidR="00C75867" w:rsidRPr="00C75867" w:rsidRDefault="00C75867" w:rsidP="00C75867">
      <w:pPr>
        <w:spacing w:after="0" w:line="259" w:lineRule="auto"/>
        <w:ind w:left="720"/>
        <w:rPr>
          <w:color w:val="auto"/>
          <w:szCs w:val="20"/>
        </w:rPr>
      </w:pPr>
    </w:p>
    <w:p w14:paraId="4F045EF6" w14:textId="77777777" w:rsidR="00C75867" w:rsidRPr="00C75867" w:rsidRDefault="00C75867" w:rsidP="00721E63">
      <w:pPr>
        <w:spacing w:after="0" w:line="259" w:lineRule="auto"/>
      </w:pPr>
      <w:r w:rsidRPr="00C75867">
        <w:lastRenderedPageBreak/>
        <w:t>1.2. In respect of income collection, the Council’s Financial Rules state that Heads of Service are responsible for:</w:t>
      </w:r>
    </w:p>
    <w:p w14:paraId="75BBE18D" w14:textId="77777777" w:rsidR="00C75867" w:rsidRPr="00C75867" w:rsidRDefault="00C75867" w:rsidP="00C75867">
      <w:pPr>
        <w:spacing w:after="0" w:line="259" w:lineRule="auto"/>
        <w:ind w:left="720"/>
        <w:rPr>
          <w:color w:val="auto"/>
          <w:szCs w:val="20"/>
        </w:rPr>
      </w:pPr>
      <w:r w:rsidRPr="00C75867">
        <w:rPr>
          <w:color w:val="auto"/>
          <w:szCs w:val="20"/>
        </w:rPr>
        <w:t xml:space="preserve"> </w:t>
      </w:r>
      <w:r w:rsidRPr="00C75867">
        <w:rPr>
          <w:rFonts w:ascii="Times New Roman" w:hAnsi="Times New Roman"/>
          <w:color w:val="auto"/>
          <w:szCs w:val="20"/>
        </w:rPr>
        <w:tab/>
      </w:r>
    </w:p>
    <w:p w14:paraId="43C8C46D" w14:textId="77777777" w:rsidR="00C75867" w:rsidRPr="00C75867" w:rsidRDefault="00C75867" w:rsidP="00C75867">
      <w:pPr>
        <w:numPr>
          <w:ilvl w:val="0"/>
          <w:numId w:val="35"/>
        </w:numPr>
        <w:spacing w:after="0" w:line="259" w:lineRule="auto"/>
        <w:rPr>
          <w:color w:val="auto"/>
          <w:szCs w:val="20"/>
        </w:rPr>
      </w:pPr>
      <w:r w:rsidRPr="00C75867">
        <w:rPr>
          <w:color w:val="auto"/>
          <w:szCs w:val="20"/>
        </w:rPr>
        <w:t xml:space="preserve">raising invoices as soon as reasonably practical for all goods and services provided on credit; and </w:t>
      </w:r>
    </w:p>
    <w:p w14:paraId="08245A26" w14:textId="77777777" w:rsidR="00C75867" w:rsidRPr="00C75867" w:rsidRDefault="00C75867" w:rsidP="00C75867">
      <w:pPr>
        <w:numPr>
          <w:ilvl w:val="0"/>
          <w:numId w:val="35"/>
        </w:numPr>
        <w:spacing w:after="0" w:line="259" w:lineRule="auto"/>
        <w:rPr>
          <w:color w:val="auto"/>
          <w:szCs w:val="20"/>
        </w:rPr>
      </w:pPr>
      <w:r w:rsidRPr="00C75867">
        <w:rPr>
          <w:color w:val="auto"/>
          <w:szCs w:val="20"/>
        </w:rPr>
        <w:t xml:space="preserve">following the systems and procedures laid out by the Head of Finance as contained in the Cost Centre Managers Manual and within the Guidance on Debt Collection on the intranet. </w:t>
      </w:r>
    </w:p>
    <w:p w14:paraId="75A32165" w14:textId="77777777" w:rsidR="00C75867" w:rsidRPr="00C75867" w:rsidRDefault="00C75867" w:rsidP="00C75867">
      <w:pPr>
        <w:spacing w:after="0" w:line="259" w:lineRule="auto"/>
        <w:ind w:left="720"/>
        <w:rPr>
          <w:color w:val="auto"/>
          <w:szCs w:val="20"/>
        </w:rPr>
      </w:pPr>
    </w:p>
    <w:p w14:paraId="0E45055F" w14:textId="77777777" w:rsidR="00C75867" w:rsidRPr="00C75867" w:rsidRDefault="00C75867" w:rsidP="00721E63">
      <w:pPr>
        <w:spacing w:after="0" w:line="259" w:lineRule="auto"/>
      </w:pPr>
      <w:r w:rsidRPr="00C75867">
        <w:t>1.3. In total it is estimated that the Council raises invoices for over £287 millions of income per annum using several systems depending on the category of debt including</w:t>
      </w:r>
    </w:p>
    <w:p w14:paraId="08EBD3B9" w14:textId="77777777" w:rsidR="00C75867" w:rsidRPr="00C75867" w:rsidRDefault="00C75867" w:rsidP="00C75867">
      <w:pPr>
        <w:autoSpaceDE w:val="0"/>
        <w:autoSpaceDN w:val="0"/>
        <w:adjustRightInd w:val="0"/>
        <w:spacing w:after="0"/>
        <w:ind w:left="720" w:hanging="540"/>
        <w:rPr>
          <w:rFonts w:cs="Arial"/>
          <w:sz w:val="16"/>
          <w:szCs w:val="16"/>
        </w:rPr>
      </w:pPr>
    </w:p>
    <w:p w14:paraId="5A261B40" w14:textId="77777777" w:rsidR="00C75867" w:rsidRPr="00C75867" w:rsidRDefault="00C75867" w:rsidP="00C75867">
      <w:pPr>
        <w:numPr>
          <w:ilvl w:val="0"/>
          <w:numId w:val="34"/>
        </w:numPr>
        <w:spacing w:after="0"/>
        <w:jc w:val="both"/>
        <w:textAlignment w:val="baseline"/>
        <w:rPr>
          <w:rFonts w:cs="Arial"/>
        </w:rPr>
      </w:pPr>
      <w:r w:rsidRPr="00C75867">
        <w:rPr>
          <w:rFonts w:cs="Arial"/>
          <w:color w:val="auto"/>
        </w:rPr>
        <w:t>Civica Open Revenues </w:t>
      </w:r>
    </w:p>
    <w:p w14:paraId="02F04530" w14:textId="77777777" w:rsidR="00C75867" w:rsidRPr="00C75867" w:rsidRDefault="00C75867" w:rsidP="00C75867">
      <w:pPr>
        <w:numPr>
          <w:ilvl w:val="0"/>
          <w:numId w:val="34"/>
        </w:numPr>
        <w:spacing w:after="0"/>
        <w:jc w:val="both"/>
        <w:textAlignment w:val="baseline"/>
        <w:rPr>
          <w:rFonts w:cs="Arial"/>
        </w:rPr>
      </w:pPr>
      <w:r w:rsidRPr="00C75867">
        <w:rPr>
          <w:rFonts w:cs="Arial"/>
          <w:color w:val="auto"/>
        </w:rPr>
        <w:t>Civica Pay/Paris </w:t>
      </w:r>
    </w:p>
    <w:p w14:paraId="569AFB3B" w14:textId="77777777" w:rsidR="00C75867" w:rsidRPr="00C75867" w:rsidRDefault="00C75867" w:rsidP="00C75867">
      <w:pPr>
        <w:numPr>
          <w:ilvl w:val="0"/>
          <w:numId w:val="34"/>
        </w:numPr>
        <w:spacing w:after="0"/>
        <w:jc w:val="both"/>
        <w:textAlignment w:val="baseline"/>
        <w:rPr>
          <w:rFonts w:cs="Arial"/>
        </w:rPr>
      </w:pPr>
      <w:r w:rsidRPr="00C75867">
        <w:rPr>
          <w:rFonts w:cs="Arial"/>
          <w:color w:val="auto"/>
        </w:rPr>
        <w:t>Agresso Purchasing System </w:t>
      </w:r>
    </w:p>
    <w:p w14:paraId="12A4FA81" w14:textId="77777777" w:rsidR="00C75867" w:rsidRPr="00C75867" w:rsidRDefault="00C75867" w:rsidP="00C75867">
      <w:pPr>
        <w:numPr>
          <w:ilvl w:val="0"/>
          <w:numId w:val="34"/>
        </w:numPr>
        <w:spacing w:after="0"/>
        <w:jc w:val="both"/>
        <w:textAlignment w:val="baseline"/>
        <w:rPr>
          <w:rFonts w:cs="Arial"/>
        </w:rPr>
      </w:pPr>
      <w:r w:rsidRPr="00C75867">
        <w:rPr>
          <w:rFonts w:cs="Arial"/>
          <w:color w:val="auto"/>
        </w:rPr>
        <w:t>QL Housing Management System </w:t>
      </w:r>
    </w:p>
    <w:p w14:paraId="5E2AD8D7" w14:textId="77777777" w:rsidR="00C75867" w:rsidRPr="00C75867" w:rsidRDefault="00C75867" w:rsidP="00C75867">
      <w:pPr>
        <w:numPr>
          <w:ilvl w:val="0"/>
          <w:numId w:val="34"/>
        </w:numPr>
        <w:spacing w:after="0"/>
        <w:jc w:val="both"/>
        <w:textAlignment w:val="baseline"/>
        <w:rPr>
          <w:rFonts w:cs="Arial"/>
        </w:rPr>
      </w:pPr>
      <w:r w:rsidRPr="00C75867">
        <w:rPr>
          <w:rFonts w:cs="Arial"/>
          <w:color w:val="auto"/>
        </w:rPr>
        <w:t>3 Sixty Citizen Parking System. </w:t>
      </w:r>
    </w:p>
    <w:p w14:paraId="2CCD8FDE" w14:textId="77777777" w:rsidR="00C75867" w:rsidRPr="00C75867" w:rsidRDefault="00C75867" w:rsidP="00C75867">
      <w:pPr>
        <w:numPr>
          <w:ilvl w:val="0"/>
          <w:numId w:val="34"/>
        </w:numPr>
        <w:spacing w:after="0"/>
        <w:jc w:val="both"/>
        <w:textAlignment w:val="baseline"/>
        <w:rPr>
          <w:rFonts w:cs="Arial"/>
        </w:rPr>
      </w:pPr>
      <w:r w:rsidRPr="00C75867">
        <w:rPr>
          <w:rFonts w:cs="Arial"/>
          <w:color w:val="auto"/>
        </w:rPr>
        <w:t>Civica Collect. </w:t>
      </w:r>
    </w:p>
    <w:p w14:paraId="6514F05E" w14:textId="77777777" w:rsidR="00C75867" w:rsidRPr="00C75867" w:rsidRDefault="00C75867" w:rsidP="00C75867">
      <w:pPr>
        <w:autoSpaceDE w:val="0"/>
        <w:autoSpaceDN w:val="0"/>
        <w:adjustRightInd w:val="0"/>
        <w:spacing w:after="0"/>
        <w:ind w:left="720" w:hanging="540"/>
        <w:rPr>
          <w:rFonts w:cs="Arial"/>
        </w:rPr>
      </w:pPr>
    </w:p>
    <w:p w14:paraId="6F56333E" w14:textId="77777777" w:rsidR="00C75867" w:rsidRPr="00C75867" w:rsidRDefault="00C75867" w:rsidP="00C75867">
      <w:pPr>
        <w:autoSpaceDE w:val="0"/>
        <w:autoSpaceDN w:val="0"/>
        <w:adjustRightInd w:val="0"/>
        <w:spacing w:after="0"/>
        <w:ind w:left="720" w:hanging="540"/>
        <w:rPr>
          <w:rFonts w:cs="Arial"/>
        </w:rPr>
      </w:pPr>
    </w:p>
    <w:p w14:paraId="58F8BD58" w14:textId="77777777" w:rsidR="00C75867" w:rsidRPr="00C75867" w:rsidRDefault="00C75867" w:rsidP="00721E63">
      <w:pPr>
        <w:spacing w:after="0" w:line="259" w:lineRule="auto"/>
      </w:pPr>
      <w:r w:rsidRPr="00C75867">
        <w:t>1.4. As of 31st March 2024, arrears stood at around £37 million shown in the table below together with an analysis of provisions held against each debt type:</w:t>
      </w:r>
    </w:p>
    <w:p w14:paraId="5984C17E" w14:textId="77777777" w:rsidR="00C75867" w:rsidRPr="00C75867" w:rsidRDefault="00C75867" w:rsidP="00C75867">
      <w:pPr>
        <w:autoSpaceDE w:val="0"/>
        <w:autoSpaceDN w:val="0"/>
        <w:adjustRightInd w:val="0"/>
        <w:spacing w:after="0"/>
        <w:ind w:lef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4"/>
        <w:gridCol w:w="1716"/>
        <w:gridCol w:w="1558"/>
      </w:tblGrid>
      <w:tr w:rsidR="00C75867" w:rsidRPr="00C75867" w14:paraId="5C80D962" w14:textId="77777777" w:rsidTr="00F05AEC">
        <w:tc>
          <w:tcPr>
            <w:tcW w:w="8026" w:type="dxa"/>
            <w:gridSpan w:val="2"/>
            <w:shd w:val="clear" w:color="auto" w:fill="auto"/>
          </w:tcPr>
          <w:p w14:paraId="54FFE786" w14:textId="77777777" w:rsidR="00C75867" w:rsidRPr="00C75867" w:rsidRDefault="00C75867" w:rsidP="00C75867">
            <w:pPr>
              <w:autoSpaceDE w:val="0"/>
              <w:autoSpaceDN w:val="0"/>
              <w:adjustRightInd w:val="0"/>
              <w:spacing w:after="0"/>
              <w:rPr>
                <w:rFonts w:cs="Arial"/>
              </w:rPr>
            </w:pPr>
            <w:r w:rsidRPr="00C75867">
              <w:rPr>
                <w:rFonts w:cs="Arial"/>
              </w:rPr>
              <w:t>Arrears as of 31</w:t>
            </w:r>
            <w:r w:rsidRPr="00C75867">
              <w:rPr>
                <w:rFonts w:cs="Arial"/>
                <w:vertAlign w:val="superscript"/>
              </w:rPr>
              <w:t>st</w:t>
            </w:r>
            <w:r w:rsidRPr="00C75867">
              <w:rPr>
                <w:rFonts w:cs="Arial"/>
              </w:rPr>
              <w:t xml:space="preserve"> March 2024</w:t>
            </w:r>
          </w:p>
        </w:tc>
        <w:tc>
          <w:tcPr>
            <w:tcW w:w="1579" w:type="dxa"/>
            <w:shd w:val="clear" w:color="auto" w:fill="auto"/>
          </w:tcPr>
          <w:p w14:paraId="7861D6F8" w14:textId="77777777" w:rsidR="00C75867" w:rsidRPr="00C75867" w:rsidRDefault="00C75867" w:rsidP="00C75867">
            <w:pPr>
              <w:autoSpaceDE w:val="0"/>
              <w:autoSpaceDN w:val="0"/>
              <w:adjustRightInd w:val="0"/>
              <w:spacing w:after="0"/>
              <w:rPr>
                <w:rFonts w:cs="Arial"/>
              </w:rPr>
            </w:pPr>
          </w:p>
        </w:tc>
      </w:tr>
      <w:tr w:rsidR="00C75867" w:rsidRPr="00C75867" w14:paraId="2B811E51" w14:textId="77777777" w:rsidTr="00F05AEC">
        <w:tc>
          <w:tcPr>
            <w:tcW w:w="6268" w:type="dxa"/>
            <w:shd w:val="clear" w:color="auto" w:fill="auto"/>
          </w:tcPr>
          <w:p w14:paraId="56207704" w14:textId="77777777" w:rsidR="00C75867" w:rsidRPr="00C75867" w:rsidRDefault="00C75867" w:rsidP="00C75867">
            <w:pPr>
              <w:autoSpaceDE w:val="0"/>
              <w:autoSpaceDN w:val="0"/>
              <w:adjustRightInd w:val="0"/>
              <w:spacing w:after="0"/>
              <w:rPr>
                <w:rFonts w:cs="Arial"/>
              </w:rPr>
            </w:pPr>
          </w:p>
        </w:tc>
        <w:tc>
          <w:tcPr>
            <w:tcW w:w="1758" w:type="dxa"/>
            <w:shd w:val="clear" w:color="auto" w:fill="BFBFBF"/>
          </w:tcPr>
          <w:p w14:paraId="3682BC4E" w14:textId="77777777" w:rsidR="00C75867" w:rsidRPr="00C75867" w:rsidRDefault="00C75867" w:rsidP="00C75867">
            <w:pPr>
              <w:autoSpaceDE w:val="0"/>
              <w:autoSpaceDN w:val="0"/>
              <w:adjustRightInd w:val="0"/>
              <w:spacing w:after="0"/>
              <w:jc w:val="center"/>
              <w:rPr>
                <w:rFonts w:cs="Arial"/>
              </w:rPr>
            </w:pPr>
            <w:r w:rsidRPr="00C75867">
              <w:rPr>
                <w:rFonts w:cs="Arial"/>
              </w:rPr>
              <w:t>Arrears</w:t>
            </w:r>
          </w:p>
        </w:tc>
        <w:tc>
          <w:tcPr>
            <w:tcW w:w="1579" w:type="dxa"/>
            <w:shd w:val="clear" w:color="auto" w:fill="BFBFBF"/>
          </w:tcPr>
          <w:p w14:paraId="507ECCBC" w14:textId="77777777" w:rsidR="00C75867" w:rsidRPr="00C75867" w:rsidRDefault="00C75867" w:rsidP="00C75867">
            <w:pPr>
              <w:autoSpaceDE w:val="0"/>
              <w:autoSpaceDN w:val="0"/>
              <w:adjustRightInd w:val="0"/>
              <w:spacing w:after="0"/>
              <w:jc w:val="center"/>
              <w:rPr>
                <w:rFonts w:cs="Arial"/>
              </w:rPr>
            </w:pPr>
            <w:r w:rsidRPr="00C75867">
              <w:rPr>
                <w:rFonts w:cs="Arial"/>
              </w:rPr>
              <w:t>Provision for bad debts</w:t>
            </w:r>
          </w:p>
        </w:tc>
      </w:tr>
      <w:tr w:rsidR="00C75867" w:rsidRPr="00C75867" w14:paraId="65525A74" w14:textId="77777777" w:rsidTr="00F05AEC">
        <w:tc>
          <w:tcPr>
            <w:tcW w:w="6268" w:type="dxa"/>
            <w:shd w:val="clear" w:color="auto" w:fill="auto"/>
          </w:tcPr>
          <w:p w14:paraId="1374D0FC" w14:textId="77777777" w:rsidR="00C75867" w:rsidRPr="00C75867" w:rsidRDefault="00C75867" w:rsidP="00C75867">
            <w:pPr>
              <w:autoSpaceDE w:val="0"/>
              <w:autoSpaceDN w:val="0"/>
              <w:adjustRightInd w:val="0"/>
              <w:spacing w:after="0"/>
              <w:rPr>
                <w:rFonts w:cs="Arial"/>
              </w:rPr>
            </w:pPr>
          </w:p>
        </w:tc>
        <w:tc>
          <w:tcPr>
            <w:tcW w:w="1758" w:type="dxa"/>
            <w:shd w:val="clear" w:color="auto" w:fill="BFBFBF"/>
          </w:tcPr>
          <w:p w14:paraId="038218EF" w14:textId="77777777" w:rsidR="00C75867" w:rsidRPr="00C75867" w:rsidRDefault="00C75867" w:rsidP="00C75867">
            <w:pPr>
              <w:autoSpaceDE w:val="0"/>
              <w:autoSpaceDN w:val="0"/>
              <w:adjustRightInd w:val="0"/>
              <w:spacing w:after="0"/>
              <w:jc w:val="center"/>
              <w:rPr>
                <w:rFonts w:cs="Arial"/>
              </w:rPr>
            </w:pPr>
            <w:r w:rsidRPr="00C75867">
              <w:rPr>
                <w:rFonts w:cs="Arial"/>
              </w:rPr>
              <w:t>£000’s</w:t>
            </w:r>
          </w:p>
        </w:tc>
        <w:tc>
          <w:tcPr>
            <w:tcW w:w="1579" w:type="dxa"/>
            <w:shd w:val="clear" w:color="auto" w:fill="BFBFBF"/>
          </w:tcPr>
          <w:p w14:paraId="310343F2" w14:textId="77777777" w:rsidR="00C75867" w:rsidRPr="00C75867" w:rsidRDefault="00C75867" w:rsidP="00C75867">
            <w:pPr>
              <w:autoSpaceDE w:val="0"/>
              <w:autoSpaceDN w:val="0"/>
              <w:adjustRightInd w:val="0"/>
              <w:spacing w:after="0"/>
              <w:jc w:val="center"/>
              <w:rPr>
                <w:rFonts w:cs="Arial"/>
              </w:rPr>
            </w:pPr>
            <w:r w:rsidRPr="00C75867">
              <w:rPr>
                <w:rFonts w:cs="Arial"/>
              </w:rPr>
              <w:t>£000’s</w:t>
            </w:r>
          </w:p>
        </w:tc>
      </w:tr>
      <w:tr w:rsidR="00C75867" w:rsidRPr="00C75867" w14:paraId="7FB7FCD1" w14:textId="77777777" w:rsidTr="00F05AEC">
        <w:tc>
          <w:tcPr>
            <w:tcW w:w="6268" w:type="dxa"/>
            <w:shd w:val="clear" w:color="auto" w:fill="auto"/>
          </w:tcPr>
          <w:p w14:paraId="2364EF2E" w14:textId="77777777" w:rsidR="00C75867" w:rsidRPr="00C75867" w:rsidRDefault="00C75867" w:rsidP="00C75867">
            <w:pPr>
              <w:autoSpaceDE w:val="0"/>
              <w:autoSpaceDN w:val="0"/>
              <w:adjustRightInd w:val="0"/>
              <w:spacing w:after="0"/>
              <w:rPr>
                <w:rFonts w:cs="Arial"/>
              </w:rPr>
            </w:pPr>
            <w:r w:rsidRPr="00C75867">
              <w:rPr>
                <w:rFonts w:cs="Arial"/>
              </w:rPr>
              <w:t>Business Rates</w:t>
            </w:r>
          </w:p>
        </w:tc>
        <w:tc>
          <w:tcPr>
            <w:tcW w:w="1758" w:type="dxa"/>
            <w:shd w:val="clear" w:color="auto" w:fill="auto"/>
          </w:tcPr>
          <w:p w14:paraId="723885C9" w14:textId="77777777" w:rsidR="00C75867" w:rsidRPr="00C75867" w:rsidRDefault="00C75867" w:rsidP="00C75867">
            <w:pPr>
              <w:spacing w:after="0"/>
              <w:jc w:val="right"/>
              <w:rPr>
                <w:rFonts w:cs="Arial"/>
                <w:color w:val="auto"/>
                <w:szCs w:val="20"/>
              </w:rPr>
            </w:pPr>
            <w:r w:rsidRPr="00C75867">
              <w:rPr>
                <w:rFonts w:cs="Arial"/>
                <w:color w:val="auto"/>
                <w:szCs w:val="20"/>
              </w:rPr>
              <w:t>7,652</w:t>
            </w:r>
          </w:p>
        </w:tc>
        <w:tc>
          <w:tcPr>
            <w:tcW w:w="1579" w:type="dxa"/>
            <w:shd w:val="clear" w:color="auto" w:fill="auto"/>
          </w:tcPr>
          <w:p w14:paraId="7D715432" w14:textId="77777777" w:rsidR="00C75867" w:rsidRPr="00C75867" w:rsidRDefault="00C75867" w:rsidP="00C75867">
            <w:pPr>
              <w:spacing w:after="0"/>
              <w:jc w:val="right"/>
              <w:rPr>
                <w:rFonts w:cs="Arial"/>
                <w:color w:val="auto"/>
                <w:szCs w:val="20"/>
              </w:rPr>
            </w:pPr>
            <w:r w:rsidRPr="00C75867">
              <w:rPr>
                <w:rFonts w:cs="Arial"/>
                <w:color w:val="auto"/>
                <w:szCs w:val="20"/>
              </w:rPr>
              <w:t>(3,471)</w:t>
            </w:r>
          </w:p>
        </w:tc>
      </w:tr>
      <w:tr w:rsidR="00C75867" w:rsidRPr="00C75867" w14:paraId="4056883A" w14:textId="77777777" w:rsidTr="00F05AEC">
        <w:tc>
          <w:tcPr>
            <w:tcW w:w="6268" w:type="dxa"/>
            <w:shd w:val="clear" w:color="auto" w:fill="auto"/>
          </w:tcPr>
          <w:p w14:paraId="506AEB77" w14:textId="77777777" w:rsidR="00C75867" w:rsidRPr="00C75867" w:rsidRDefault="00C75867" w:rsidP="00C75867">
            <w:pPr>
              <w:autoSpaceDE w:val="0"/>
              <w:autoSpaceDN w:val="0"/>
              <w:adjustRightInd w:val="0"/>
              <w:spacing w:after="0"/>
              <w:rPr>
                <w:rFonts w:cs="Arial"/>
              </w:rPr>
            </w:pPr>
            <w:r w:rsidRPr="00C75867">
              <w:rPr>
                <w:rFonts w:cs="Arial"/>
              </w:rPr>
              <w:t>Council Tax</w:t>
            </w:r>
          </w:p>
        </w:tc>
        <w:tc>
          <w:tcPr>
            <w:tcW w:w="1758" w:type="dxa"/>
            <w:shd w:val="clear" w:color="auto" w:fill="auto"/>
          </w:tcPr>
          <w:p w14:paraId="30D812B7" w14:textId="77777777" w:rsidR="00C75867" w:rsidRPr="00C75867" w:rsidRDefault="00C75867" w:rsidP="00C75867">
            <w:pPr>
              <w:spacing w:after="0"/>
              <w:jc w:val="right"/>
              <w:rPr>
                <w:rFonts w:cs="Arial"/>
                <w:color w:val="auto"/>
                <w:szCs w:val="20"/>
              </w:rPr>
            </w:pPr>
            <w:r w:rsidRPr="00C75867">
              <w:rPr>
                <w:rFonts w:cs="Arial"/>
                <w:color w:val="auto"/>
                <w:szCs w:val="20"/>
              </w:rPr>
              <w:t>11,021</w:t>
            </w:r>
          </w:p>
        </w:tc>
        <w:tc>
          <w:tcPr>
            <w:tcW w:w="1579" w:type="dxa"/>
            <w:shd w:val="clear" w:color="auto" w:fill="auto"/>
          </w:tcPr>
          <w:p w14:paraId="6C52D231" w14:textId="77777777" w:rsidR="00C75867" w:rsidRPr="00C75867" w:rsidRDefault="00C75867" w:rsidP="00C75867">
            <w:pPr>
              <w:spacing w:after="0"/>
              <w:jc w:val="right"/>
              <w:rPr>
                <w:rFonts w:cs="Arial"/>
                <w:color w:val="auto"/>
                <w:szCs w:val="20"/>
              </w:rPr>
            </w:pPr>
            <w:r w:rsidRPr="00C75867">
              <w:rPr>
                <w:rFonts w:cs="Arial"/>
                <w:color w:val="auto"/>
                <w:szCs w:val="20"/>
              </w:rPr>
              <w:t>(5,654)</w:t>
            </w:r>
          </w:p>
        </w:tc>
      </w:tr>
      <w:tr w:rsidR="00C75867" w:rsidRPr="00C75867" w14:paraId="7607E1C8" w14:textId="77777777" w:rsidTr="00F05AEC">
        <w:tc>
          <w:tcPr>
            <w:tcW w:w="6268" w:type="dxa"/>
            <w:shd w:val="clear" w:color="auto" w:fill="auto"/>
          </w:tcPr>
          <w:p w14:paraId="52B4FE99" w14:textId="77777777" w:rsidR="00C75867" w:rsidRPr="00C75867" w:rsidRDefault="00C75867" w:rsidP="00C75867">
            <w:pPr>
              <w:autoSpaceDE w:val="0"/>
              <w:autoSpaceDN w:val="0"/>
              <w:adjustRightInd w:val="0"/>
              <w:spacing w:after="0"/>
              <w:rPr>
                <w:rFonts w:cs="Arial"/>
              </w:rPr>
            </w:pPr>
            <w:r w:rsidRPr="00C75867">
              <w:rPr>
                <w:rFonts w:cs="Arial"/>
              </w:rPr>
              <w:t>Overpaid Housing Benefits</w:t>
            </w:r>
          </w:p>
        </w:tc>
        <w:tc>
          <w:tcPr>
            <w:tcW w:w="1758" w:type="dxa"/>
            <w:shd w:val="clear" w:color="auto" w:fill="auto"/>
          </w:tcPr>
          <w:p w14:paraId="04981225" w14:textId="77777777" w:rsidR="00C75867" w:rsidRPr="00C75867" w:rsidRDefault="00C75867" w:rsidP="00C75867">
            <w:pPr>
              <w:spacing w:after="0"/>
              <w:jc w:val="right"/>
              <w:rPr>
                <w:rFonts w:cs="Arial"/>
                <w:color w:val="auto"/>
                <w:szCs w:val="20"/>
              </w:rPr>
            </w:pPr>
            <w:r w:rsidRPr="00C75867">
              <w:rPr>
                <w:rFonts w:cs="Arial"/>
                <w:color w:val="auto"/>
                <w:szCs w:val="20"/>
              </w:rPr>
              <w:t>6,426</w:t>
            </w:r>
          </w:p>
        </w:tc>
        <w:tc>
          <w:tcPr>
            <w:tcW w:w="1579" w:type="dxa"/>
            <w:shd w:val="clear" w:color="auto" w:fill="auto"/>
          </w:tcPr>
          <w:p w14:paraId="58FCD1C2" w14:textId="77777777" w:rsidR="00C75867" w:rsidRPr="00C75867" w:rsidRDefault="00C75867" w:rsidP="00C75867">
            <w:pPr>
              <w:spacing w:after="0"/>
              <w:jc w:val="right"/>
              <w:rPr>
                <w:rFonts w:cs="Arial"/>
                <w:color w:val="auto"/>
                <w:szCs w:val="20"/>
              </w:rPr>
            </w:pPr>
            <w:r w:rsidRPr="00C75867">
              <w:rPr>
                <w:rFonts w:cs="Arial"/>
                <w:color w:val="auto"/>
                <w:szCs w:val="20"/>
              </w:rPr>
              <w:t>(4,615)</w:t>
            </w:r>
          </w:p>
        </w:tc>
      </w:tr>
      <w:tr w:rsidR="00C75867" w:rsidRPr="00C75867" w14:paraId="6B11CB69" w14:textId="77777777" w:rsidTr="00F05AEC">
        <w:tc>
          <w:tcPr>
            <w:tcW w:w="6268" w:type="dxa"/>
            <w:shd w:val="clear" w:color="auto" w:fill="auto"/>
          </w:tcPr>
          <w:p w14:paraId="276D9B7C" w14:textId="77777777" w:rsidR="00C75867" w:rsidRPr="00C75867" w:rsidRDefault="00C75867" w:rsidP="00C75867">
            <w:pPr>
              <w:autoSpaceDE w:val="0"/>
              <w:autoSpaceDN w:val="0"/>
              <w:adjustRightInd w:val="0"/>
              <w:spacing w:after="0"/>
              <w:rPr>
                <w:rFonts w:cs="Arial"/>
              </w:rPr>
            </w:pPr>
            <w:r w:rsidRPr="00C75867">
              <w:rPr>
                <w:rFonts w:cs="Arial"/>
              </w:rPr>
              <w:t>Rents (including Former Tenant Arrears)</w:t>
            </w:r>
          </w:p>
        </w:tc>
        <w:tc>
          <w:tcPr>
            <w:tcW w:w="1758" w:type="dxa"/>
            <w:shd w:val="clear" w:color="auto" w:fill="auto"/>
          </w:tcPr>
          <w:p w14:paraId="32F2B831"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2,235</w:t>
            </w:r>
          </w:p>
        </w:tc>
        <w:tc>
          <w:tcPr>
            <w:tcW w:w="1579" w:type="dxa"/>
            <w:shd w:val="clear" w:color="auto" w:fill="auto"/>
          </w:tcPr>
          <w:p w14:paraId="249108F8"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(2,282)</w:t>
            </w:r>
          </w:p>
        </w:tc>
      </w:tr>
      <w:tr w:rsidR="00C75867" w:rsidRPr="00C75867" w14:paraId="6095F7AC" w14:textId="77777777" w:rsidTr="00F05AEC">
        <w:trPr>
          <w:trHeight w:val="300"/>
        </w:trPr>
        <w:tc>
          <w:tcPr>
            <w:tcW w:w="6268" w:type="dxa"/>
            <w:shd w:val="clear" w:color="auto" w:fill="auto"/>
          </w:tcPr>
          <w:p w14:paraId="24B579A0" w14:textId="77777777" w:rsidR="00C75867" w:rsidRPr="00C75867" w:rsidRDefault="00C75867" w:rsidP="00C75867">
            <w:pPr>
              <w:spacing w:after="0"/>
              <w:rPr>
                <w:rFonts w:cs="Arial"/>
                <w:szCs w:val="20"/>
              </w:rPr>
            </w:pPr>
            <w:r w:rsidRPr="00C75867">
              <w:rPr>
                <w:rFonts w:cs="Arial"/>
                <w:szCs w:val="20"/>
              </w:rPr>
              <w:t>Commercial Rent</w:t>
            </w:r>
          </w:p>
        </w:tc>
        <w:tc>
          <w:tcPr>
            <w:tcW w:w="1758" w:type="dxa"/>
            <w:shd w:val="clear" w:color="auto" w:fill="auto"/>
          </w:tcPr>
          <w:p w14:paraId="6107B9FA" w14:textId="77777777" w:rsidR="00C75867" w:rsidRPr="00C75867" w:rsidRDefault="00C75867" w:rsidP="00C75867">
            <w:pPr>
              <w:spacing w:after="0"/>
              <w:jc w:val="right"/>
              <w:rPr>
                <w:rFonts w:cs="Arial"/>
                <w:szCs w:val="20"/>
              </w:rPr>
            </w:pPr>
            <w:r w:rsidRPr="00C75867">
              <w:rPr>
                <w:rFonts w:cs="Arial"/>
                <w:szCs w:val="20"/>
              </w:rPr>
              <w:t>3,915</w:t>
            </w:r>
          </w:p>
        </w:tc>
        <w:tc>
          <w:tcPr>
            <w:tcW w:w="1579" w:type="dxa"/>
            <w:shd w:val="clear" w:color="auto" w:fill="auto"/>
          </w:tcPr>
          <w:p w14:paraId="00769746" w14:textId="77777777" w:rsidR="00C75867" w:rsidRPr="00C75867" w:rsidRDefault="00C75867" w:rsidP="00C75867">
            <w:pPr>
              <w:spacing w:after="0"/>
              <w:jc w:val="right"/>
              <w:rPr>
                <w:rFonts w:cs="Arial"/>
                <w:szCs w:val="20"/>
              </w:rPr>
            </w:pPr>
            <w:r w:rsidRPr="00C75867">
              <w:rPr>
                <w:rFonts w:cs="Arial"/>
                <w:szCs w:val="20"/>
              </w:rPr>
              <w:t>(727)</w:t>
            </w:r>
          </w:p>
        </w:tc>
      </w:tr>
      <w:tr w:rsidR="00C75867" w:rsidRPr="00C75867" w14:paraId="751082BE" w14:textId="77777777" w:rsidTr="00F05AEC">
        <w:tc>
          <w:tcPr>
            <w:tcW w:w="6268" w:type="dxa"/>
            <w:shd w:val="clear" w:color="auto" w:fill="auto"/>
          </w:tcPr>
          <w:p w14:paraId="744B77DF" w14:textId="77777777" w:rsidR="00C75867" w:rsidRPr="00C75867" w:rsidRDefault="00C75867" w:rsidP="00C75867">
            <w:pPr>
              <w:autoSpaceDE w:val="0"/>
              <w:autoSpaceDN w:val="0"/>
              <w:adjustRightInd w:val="0"/>
              <w:spacing w:after="0"/>
              <w:rPr>
                <w:rFonts w:cs="Arial"/>
              </w:rPr>
            </w:pPr>
            <w:r w:rsidRPr="00C75867">
              <w:rPr>
                <w:rFonts w:cs="Arial"/>
              </w:rPr>
              <w:t>Miscellaneous debts</w:t>
            </w:r>
          </w:p>
        </w:tc>
        <w:tc>
          <w:tcPr>
            <w:tcW w:w="1758" w:type="dxa"/>
            <w:shd w:val="clear" w:color="auto" w:fill="auto"/>
          </w:tcPr>
          <w:p w14:paraId="0E428B05" w14:textId="77777777" w:rsidR="00C75867" w:rsidRPr="00C75867" w:rsidRDefault="00C75867" w:rsidP="00C75867">
            <w:pPr>
              <w:spacing w:after="0" w:line="259" w:lineRule="auto"/>
              <w:jc w:val="right"/>
              <w:rPr>
                <w:rFonts w:ascii="Times New Roman" w:hAnsi="Times New Roman"/>
                <w:color w:val="auto"/>
                <w:szCs w:val="20"/>
              </w:rPr>
            </w:pPr>
            <w:r w:rsidRPr="00C75867">
              <w:rPr>
                <w:rFonts w:cs="Arial"/>
                <w:szCs w:val="20"/>
              </w:rPr>
              <w:t>5,933</w:t>
            </w:r>
          </w:p>
        </w:tc>
        <w:tc>
          <w:tcPr>
            <w:tcW w:w="1579" w:type="dxa"/>
            <w:shd w:val="clear" w:color="auto" w:fill="auto"/>
          </w:tcPr>
          <w:p w14:paraId="29DBEC99"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(3,780)</w:t>
            </w:r>
          </w:p>
        </w:tc>
      </w:tr>
      <w:tr w:rsidR="00C75867" w:rsidRPr="00C75867" w14:paraId="4DCEE570" w14:textId="77777777" w:rsidTr="00F05AEC">
        <w:tc>
          <w:tcPr>
            <w:tcW w:w="6268" w:type="dxa"/>
            <w:shd w:val="clear" w:color="auto" w:fill="auto"/>
          </w:tcPr>
          <w:p w14:paraId="1574B913" w14:textId="77777777" w:rsidR="00C75867" w:rsidRPr="00C75867" w:rsidRDefault="00C75867" w:rsidP="00C75867">
            <w:pPr>
              <w:autoSpaceDE w:val="0"/>
              <w:autoSpaceDN w:val="0"/>
              <w:adjustRightInd w:val="0"/>
              <w:spacing w:after="0"/>
              <w:rPr>
                <w:rFonts w:cs="Arial"/>
              </w:rPr>
            </w:pPr>
            <w:r w:rsidRPr="00C75867">
              <w:rPr>
                <w:rFonts w:cs="Arial"/>
              </w:rPr>
              <w:t>Excess charges notices</w:t>
            </w:r>
          </w:p>
        </w:tc>
        <w:tc>
          <w:tcPr>
            <w:tcW w:w="1758" w:type="dxa"/>
            <w:shd w:val="clear" w:color="auto" w:fill="auto"/>
          </w:tcPr>
          <w:p w14:paraId="39ECBFBB"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31</w:t>
            </w:r>
          </w:p>
        </w:tc>
        <w:tc>
          <w:tcPr>
            <w:tcW w:w="1579" w:type="dxa"/>
            <w:shd w:val="clear" w:color="auto" w:fill="auto"/>
          </w:tcPr>
          <w:p w14:paraId="4A843AC1"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(22)</w:t>
            </w:r>
          </w:p>
        </w:tc>
      </w:tr>
      <w:tr w:rsidR="00C75867" w:rsidRPr="00C75867" w14:paraId="60AD3752" w14:textId="77777777" w:rsidTr="00F05AEC">
        <w:tc>
          <w:tcPr>
            <w:tcW w:w="6268" w:type="dxa"/>
            <w:shd w:val="clear" w:color="auto" w:fill="auto"/>
          </w:tcPr>
          <w:p w14:paraId="1544E609" w14:textId="77777777" w:rsidR="00C75867" w:rsidRPr="00C75867" w:rsidRDefault="00C75867" w:rsidP="00C75867">
            <w:pPr>
              <w:autoSpaceDE w:val="0"/>
              <w:autoSpaceDN w:val="0"/>
              <w:adjustRightInd w:val="0"/>
              <w:spacing w:after="0"/>
              <w:rPr>
                <w:rFonts w:cs="Arial"/>
              </w:rPr>
            </w:pPr>
          </w:p>
        </w:tc>
        <w:tc>
          <w:tcPr>
            <w:tcW w:w="1758" w:type="dxa"/>
            <w:shd w:val="clear" w:color="auto" w:fill="auto"/>
          </w:tcPr>
          <w:p w14:paraId="0F39B3C6" w14:textId="77777777" w:rsidR="00C75867" w:rsidRPr="00C75867" w:rsidRDefault="00C75867" w:rsidP="00C75867">
            <w:pPr>
              <w:autoSpaceDE w:val="0"/>
              <w:autoSpaceDN w:val="0"/>
              <w:adjustRightInd w:val="0"/>
              <w:spacing w:after="0"/>
              <w:jc w:val="right"/>
              <w:rPr>
                <w:rFonts w:cs="Arial"/>
              </w:rPr>
            </w:pPr>
          </w:p>
        </w:tc>
        <w:tc>
          <w:tcPr>
            <w:tcW w:w="1579" w:type="dxa"/>
            <w:shd w:val="clear" w:color="auto" w:fill="auto"/>
          </w:tcPr>
          <w:p w14:paraId="33B277DD" w14:textId="77777777" w:rsidR="00C75867" w:rsidRPr="00C75867" w:rsidRDefault="00C75867" w:rsidP="00C75867">
            <w:pPr>
              <w:autoSpaceDE w:val="0"/>
              <w:autoSpaceDN w:val="0"/>
              <w:adjustRightInd w:val="0"/>
              <w:spacing w:after="0"/>
              <w:jc w:val="right"/>
              <w:rPr>
                <w:rFonts w:cs="Arial"/>
              </w:rPr>
            </w:pPr>
          </w:p>
        </w:tc>
      </w:tr>
      <w:tr w:rsidR="00C75867" w:rsidRPr="00C75867" w14:paraId="247EE85C" w14:textId="77777777" w:rsidTr="00F05AEC">
        <w:tc>
          <w:tcPr>
            <w:tcW w:w="6268" w:type="dxa"/>
            <w:shd w:val="clear" w:color="auto" w:fill="auto"/>
          </w:tcPr>
          <w:p w14:paraId="70301D0D" w14:textId="77777777" w:rsidR="00C75867" w:rsidRPr="00C75867" w:rsidRDefault="00C75867" w:rsidP="00C75867">
            <w:pPr>
              <w:autoSpaceDE w:val="0"/>
              <w:autoSpaceDN w:val="0"/>
              <w:adjustRightInd w:val="0"/>
              <w:spacing w:after="0"/>
              <w:rPr>
                <w:rFonts w:cs="Arial"/>
              </w:rPr>
            </w:pPr>
            <w:r w:rsidRPr="00C75867">
              <w:rPr>
                <w:rFonts w:cs="Arial"/>
              </w:rPr>
              <w:t>Total</w:t>
            </w:r>
          </w:p>
        </w:tc>
        <w:tc>
          <w:tcPr>
            <w:tcW w:w="1758" w:type="dxa"/>
            <w:shd w:val="clear" w:color="auto" w:fill="auto"/>
          </w:tcPr>
          <w:p w14:paraId="00D77AE1"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37,213</w:t>
            </w:r>
          </w:p>
        </w:tc>
        <w:tc>
          <w:tcPr>
            <w:tcW w:w="1579" w:type="dxa"/>
            <w:shd w:val="clear" w:color="auto" w:fill="auto"/>
          </w:tcPr>
          <w:p w14:paraId="6591C6A7" w14:textId="77777777" w:rsidR="00C75867" w:rsidRPr="00C75867" w:rsidRDefault="00C75867" w:rsidP="00C75867">
            <w:pPr>
              <w:autoSpaceDE w:val="0"/>
              <w:autoSpaceDN w:val="0"/>
              <w:adjustRightInd w:val="0"/>
              <w:spacing w:after="0"/>
              <w:jc w:val="right"/>
              <w:rPr>
                <w:rFonts w:cs="Arial"/>
                <w:szCs w:val="20"/>
              </w:rPr>
            </w:pPr>
            <w:r w:rsidRPr="00C75867">
              <w:rPr>
                <w:rFonts w:cs="Arial"/>
                <w:szCs w:val="20"/>
              </w:rPr>
              <w:t>(20,551)</w:t>
            </w:r>
          </w:p>
        </w:tc>
      </w:tr>
    </w:tbl>
    <w:p w14:paraId="33A4E1BF" w14:textId="77777777" w:rsidR="00C75867" w:rsidRPr="00C75867" w:rsidRDefault="00C75867" w:rsidP="00C75867">
      <w:pPr>
        <w:autoSpaceDE w:val="0"/>
        <w:autoSpaceDN w:val="0"/>
        <w:adjustRightInd w:val="0"/>
        <w:spacing w:after="0"/>
        <w:rPr>
          <w:rFonts w:cs="Arial"/>
        </w:rPr>
      </w:pPr>
    </w:p>
    <w:p w14:paraId="57752B6F" w14:textId="77777777" w:rsidR="00C75867" w:rsidRPr="00C75867" w:rsidRDefault="00C75867" w:rsidP="00C75867">
      <w:pPr>
        <w:autoSpaceDE w:val="0"/>
        <w:autoSpaceDN w:val="0"/>
        <w:adjustRightInd w:val="0"/>
        <w:spacing w:after="0"/>
        <w:ind w:left="720"/>
        <w:rPr>
          <w:rFonts w:cs="Arial"/>
        </w:rPr>
      </w:pPr>
    </w:p>
    <w:p w14:paraId="4510335D" w14:textId="77777777" w:rsidR="00C75867" w:rsidRPr="00C75867" w:rsidRDefault="00C75867" w:rsidP="00C75867">
      <w:pPr>
        <w:spacing w:after="0"/>
        <w:ind w:left="720"/>
        <w:rPr>
          <w:color w:val="auto"/>
        </w:rPr>
      </w:pPr>
    </w:p>
    <w:p w14:paraId="198F6229" w14:textId="77777777" w:rsidR="00C75867" w:rsidRPr="00C75867" w:rsidRDefault="00C75867" w:rsidP="00721E63">
      <w:pPr>
        <w:spacing w:after="0" w:line="259" w:lineRule="auto"/>
      </w:pPr>
      <w:r w:rsidRPr="00C75867">
        <w:t>1.5. In 2023/24 the collection rate for business rates was 96.62% compared to a target of 98.00%. On council tax the collection rate was 95.56% compared to a target of 97.50% On rent arrears the collection rate was 98.6% compared to a target of 98%.</w:t>
      </w:r>
    </w:p>
    <w:p w14:paraId="2CB57D89" w14:textId="77777777" w:rsidR="00C75867" w:rsidRPr="00C75867" w:rsidRDefault="00C75867" w:rsidP="00C75867">
      <w:pPr>
        <w:spacing w:after="0" w:line="259" w:lineRule="auto"/>
        <w:ind w:left="720"/>
        <w:rPr>
          <w:color w:val="auto"/>
        </w:rPr>
      </w:pPr>
    </w:p>
    <w:p w14:paraId="499DC4EA" w14:textId="77777777" w:rsidR="00C75867" w:rsidRPr="00C75867" w:rsidRDefault="00C75867" w:rsidP="00C75867">
      <w:pPr>
        <w:numPr>
          <w:ilvl w:val="0"/>
          <w:numId w:val="36"/>
        </w:numPr>
        <w:spacing w:after="0" w:line="259" w:lineRule="auto"/>
        <w:rPr>
          <w:color w:val="auto"/>
          <w:szCs w:val="20"/>
        </w:rPr>
      </w:pPr>
      <w:r w:rsidRPr="00C75867">
        <w:rPr>
          <w:color w:val="auto"/>
        </w:rPr>
        <w:t>The covid-19 pandemic and resulting lockdowns followed closely by the economic crisis pushed many households in England into council tax debt for the first time. It also resulted in a corresponding rise in the overall level of in-year council tax and rent arrears, highlighting local government’s ever-growing reliance on council tax revenue.</w:t>
      </w:r>
    </w:p>
    <w:p w14:paraId="44981E2C" w14:textId="77777777" w:rsidR="00C75867" w:rsidRPr="00C75867" w:rsidRDefault="00C75867" w:rsidP="00C75867">
      <w:pPr>
        <w:spacing w:after="0" w:line="259" w:lineRule="auto"/>
        <w:ind w:left="720"/>
        <w:rPr>
          <w:color w:val="auto"/>
          <w:szCs w:val="20"/>
        </w:rPr>
      </w:pPr>
      <w:r w:rsidRPr="00C75867">
        <w:rPr>
          <w:color w:val="auto"/>
          <w:szCs w:val="20"/>
        </w:rPr>
        <w:lastRenderedPageBreak/>
        <w:t xml:space="preserve"> </w:t>
      </w:r>
    </w:p>
    <w:p w14:paraId="1ACA5DAC" w14:textId="77777777" w:rsidR="00C75867" w:rsidRPr="00C75867" w:rsidRDefault="00C75867" w:rsidP="00AF2F50">
      <w:r w:rsidRPr="00C75867">
        <w:t>1.6. Reduced Government grants and our increased dependence on income from business rates and trading, along with pressures on tenants and Council Taxpayer’s incomes due to the economic downturn and welfare changes means effective debt collection is more important than ever.</w:t>
      </w:r>
    </w:p>
    <w:p w14:paraId="51ED32B4" w14:textId="0757B9B7" w:rsidR="0040736F" w:rsidRDefault="00AF2F50" w:rsidP="002B6836">
      <w:pPr>
        <w:pStyle w:val="Heading1"/>
      </w:pPr>
      <w:r>
        <w:t xml:space="preserve">2. </w:t>
      </w:r>
      <w:r w:rsidR="002329CF" w:rsidRPr="002B6836">
        <w:t>Financial implications</w:t>
      </w:r>
    </w:p>
    <w:p w14:paraId="3C5A6BD3" w14:textId="7603C22C" w:rsidR="00AF2F50" w:rsidRPr="00AF2F50" w:rsidRDefault="001C1A52" w:rsidP="00AF2F50">
      <w:r w:rsidRPr="000875D4">
        <w:t>2</w:t>
      </w:r>
      <w:r w:rsidR="00AF2F50" w:rsidRPr="00AF2F50">
        <w:t>.1. The Corporate Debt Management policy is designed to standardise processes for the granting of credit, the recognition of revenues, and the collection of debt. However, given the current economic outlook, and the welfare reforms being implemented, increased pressure will be felt by many tenants and homeowners on their own budgets, and this will impact on their ability to pay their bills promptly.</w:t>
      </w:r>
    </w:p>
    <w:p w14:paraId="73E7571D" w14:textId="77777777" w:rsidR="00AF2F50" w:rsidRPr="00AF2F50" w:rsidRDefault="00AF2F50" w:rsidP="00AF2F50"/>
    <w:p w14:paraId="0D05EF18" w14:textId="079085F2" w:rsidR="00AF2F50" w:rsidRPr="00AF2F50" w:rsidRDefault="001C1A52" w:rsidP="00AF2F50">
      <w:r w:rsidRPr="000875D4">
        <w:t>2</w:t>
      </w:r>
      <w:r w:rsidR="00AF2F50" w:rsidRPr="00AF2F50">
        <w:t>.2. The reduction in household’s disposable income will obviously also have a detrimental effect to businesses in the city, with lower turnover, resulting in higher cases of closure, and those businesses which continue to trade, will do so with the prospect of lower income levels. Small businesses are also currently encountering difficulty in securing affordable funding from the banking sector, which may result in poor cash flow, and therefore will find it more difficult to pay Council invoices promptly.</w:t>
      </w:r>
    </w:p>
    <w:p w14:paraId="37B2336D" w14:textId="77777777" w:rsidR="00AF2F50" w:rsidRPr="00AF2F50" w:rsidRDefault="00AF2F50" w:rsidP="00AF2F50"/>
    <w:p w14:paraId="4A6BAFEB" w14:textId="2AA6ED4B" w:rsidR="00AF2F50" w:rsidRPr="00AF2F50" w:rsidRDefault="0016693C" w:rsidP="00AF2F50">
      <w:r>
        <w:t>2</w:t>
      </w:r>
      <w:r w:rsidR="00AF2F50" w:rsidRPr="00AF2F50">
        <w:t xml:space="preserve">.3. Effective billing, payment methods, income management and debt collection are essential for conducting the business of the Council. </w:t>
      </w:r>
    </w:p>
    <w:p w14:paraId="2048A39D" w14:textId="77777777" w:rsidR="00AF2F50" w:rsidRPr="00AF2F50" w:rsidRDefault="00AF2F50" w:rsidP="00AF2F50">
      <w:r w:rsidRPr="00AF2F50">
        <w:t xml:space="preserve"> </w:t>
      </w:r>
    </w:p>
    <w:p w14:paraId="1DB97E53" w14:textId="0FA03792" w:rsidR="00AF2F50" w:rsidRPr="00AF2F50" w:rsidRDefault="0016693C" w:rsidP="00AF2F50">
      <w:r>
        <w:t>2</w:t>
      </w:r>
      <w:r w:rsidR="00AF2F50" w:rsidRPr="00AF2F50">
        <w:t xml:space="preserve">.4. It follows that even a small reduction in our collection rates of, say, 1% would have a significant impact on the Council’s overall financial position. This could have cashflow implications for the organisation, even if the money is collected, as well as increasing the risk of unmanageable debt. </w:t>
      </w:r>
    </w:p>
    <w:p w14:paraId="70300A25" w14:textId="77777777" w:rsidR="00AF2F50" w:rsidRPr="00AF2F50" w:rsidRDefault="00AF2F50" w:rsidP="00AF2F50">
      <w:r w:rsidRPr="00AF2F50">
        <w:t xml:space="preserve"> </w:t>
      </w:r>
    </w:p>
    <w:p w14:paraId="7E021F07" w14:textId="23B32EBC" w:rsidR="00AF2F50" w:rsidRPr="00AF2F50" w:rsidRDefault="00821734" w:rsidP="00AF2F50">
      <w:r>
        <w:t>2</w:t>
      </w:r>
      <w:r w:rsidR="00AF2F50" w:rsidRPr="00AF2F50">
        <w:t>.5. It is therefore crucial the Corporate Debt Policy helps to strike the right balance between the Council’s role as a Local Authority interested in the wider economic and social needs of the City, especially vulnerable citizens, and the need to provide an efficient organisation looking to reduce overall costs in an increasingly challenging financial environment.</w:t>
      </w:r>
    </w:p>
    <w:p w14:paraId="7A220033" w14:textId="77777777" w:rsidR="00AF2F50" w:rsidRPr="00AF2F50" w:rsidRDefault="00AF2F50" w:rsidP="00AF2F50"/>
    <w:p w14:paraId="20FFD25E" w14:textId="326D9333" w:rsidR="0040736F" w:rsidRDefault="00205A09" w:rsidP="004A6D2F">
      <w:pPr>
        <w:pStyle w:val="Heading1"/>
      </w:pPr>
      <w:r>
        <w:t xml:space="preserve">3. </w:t>
      </w:r>
      <w:r w:rsidR="00DA614B" w:rsidRPr="001356F1">
        <w:t>Legal issues</w:t>
      </w:r>
    </w:p>
    <w:p w14:paraId="3E86F9F9" w14:textId="68C8EE99" w:rsidR="0004449D" w:rsidRDefault="0004449D" w:rsidP="002B7788">
      <w:r w:rsidRPr="002B7788">
        <w:t xml:space="preserve">3.1. </w:t>
      </w:r>
      <w:r w:rsidRPr="21C3FB3E">
        <w:t>Local authorities are required to collect monies from both residents and business for a variety of reasons such as Council Tax (Local Government</w:t>
      </w:r>
      <w:r w:rsidR="002B7788">
        <w:t xml:space="preserve"> </w:t>
      </w:r>
      <w:r w:rsidRPr="21C3FB3E">
        <w:t>Finance Act 1992) and Business Rates (Local Government Finance Act 1988).</w:t>
      </w:r>
    </w:p>
    <w:p w14:paraId="5B308A9D" w14:textId="77777777" w:rsidR="0004449D" w:rsidRDefault="0004449D" w:rsidP="0004449D">
      <w:pPr>
        <w:spacing w:line="259" w:lineRule="auto"/>
        <w:ind w:left="720"/>
      </w:pPr>
    </w:p>
    <w:p w14:paraId="70429BF9" w14:textId="1B74E60B" w:rsidR="0004449D" w:rsidRDefault="0004449D" w:rsidP="00715F61">
      <w:r w:rsidRPr="21C3FB3E">
        <w:t xml:space="preserve"> </w:t>
      </w:r>
      <w:r w:rsidRPr="00715F61">
        <w:t>3.2.</w:t>
      </w:r>
      <w:r w:rsidRPr="21C3FB3E">
        <w:t xml:space="preserve"> Local authorities also have various legal powers to pursue other types of debts. These depend on the nature of the debt involved and are specific to certain services such as off-street parking charges (Road Traffic Regulation Act 1984) and care and support needs (Care Act 2014). </w:t>
      </w:r>
    </w:p>
    <w:p w14:paraId="466691B9" w14:textId="77777777" w:rsidR="0004449D" w:rsidRDefault="0004449D" w:rsidP="0004449D">
      <w:pPr>
        <w:spacing w:line="259" w:lineRule="auto"/>
        <w:ind w:left="720"/>
      </w:pPr>
    </w:p>
    <w:p w14:paraId="67F14032" w14:textId="078959FA" w:rsidR="0004449D" w:rsidRDefault="0004449D" w:rsidP="00715F61">
      <w:r w:rsidRPr="00715F61">
        <w:lastRenderedPageBreak/>
        <w:t>3.3.</w:t>
      </w:r>
      <w:r w:rsidRPr="21C3FB3E">
        <w:t xml:space="preserve"> Where no specific power exists, the Council could rely on Section 1 of the Localism Act 2011. This provides local authorities with a “general power of competence” and allows them to “do anything that individuals generally may do.”</w:t>
      </w:r>
    </w:p>
    <w:p w14:paraId="2D389DC6" w14:textId="77777777" w:rsidR="0004449D" w:rsidRDefault="0004449D" w:rsidP="0004449D">
      <w:pPr>
        <w:spacing w:line="259" w:lineRule="auto"/>
        <w:ind w:left="720"/>
      </w:pPr>
    </w:p>
    <w:p w14:paraId="70098613" w14:textId="27D15002" w:rsidR="0004449D" w:rsidRDefault="0004449D" w:rsidP="00365824">
      <w:r w:rsidRPr="00365824">
        <w:t xml:space="preserve">3.4. </w:t>
      </w:r>
      <w:r w:rsidRPr="21C3FB3E">
        <w:t>Where legal proceedings are used to recover a debt, the Council must have regard to the requirements of the Pre-Action Protocol for Possession Claims by Social Landlords, the Pre-Action Protocol for Revenues Collection.</w:t>
      </w:r>
    </w:p>
    <w:p w14:paraId="38697C3E" w14:textId="77777777" w:rsidR="0004449D" w:rsidRDefault="0004449D" w:rsidP="0004449D">
      <w:pPr>
        <w:spacing w:line="259" w:lineRule="auto"/>
        <w:ind w:left="720"/>
      </w:pPr>
    </w:p>
    <w:p w14:paraId="746582FA" w14:textId="06B1DA81" w:rsidR="00AD53D7" w:rsidRPr="00AD53D7" w:rsidRDefault="00365824" w:rsidP="00AD53D7">
      <w:r w:rsidRPr="00365824">
        <w:t>3</w:t>
      </w:r>
      <w:r w:rsidR="0004449D" w:rsidRPr="00365824">
        <w:t>.5.</w:t>
      </w:r>
      <w:r w:rsidR="0004449D" w:rsidRPr="21C3FB3E">
        <w:t xml:space="preserve"> On priority of debt, this area of the policy was approached by looking at how the courts would consider this issue. The priority of debt is based on welfare and protecting human rights. Broadly, paying off debts in the suggested order to minimise the impact on the individual.</w:t>
      </w:r>
    </w:p>
    <w:p w14:paraId="63C6A558" w14:textId="4AD29658" w:rsidR="002329CF" w:rsidRDefault="00FC52C7" w:rsidP="004A6D2F">
      <w:pPr>
        <w:pStyle w:val="Heading1"/>
      </w:pPr>
      <w:r>
        <w:t xml:space="preserve">4. </w:t>
      </w:r>
      <w:r w:rsidR="002329CF" w:rsidRPr="001356F1">
        <w:t>Level of risk</w:t>
      </w:r>
    </w:p>
    <w:p w14:paraId="772E2DDD" w14:textId="10C4BD82" w:rsidR="002219EA" w:rsidRPr="002219EA" w:rsidRDefault="00B85BD0" w:rsidP="00FC52C7">
      <w:r w:rsidRPr="00FC52C7">
        <w:t>4</w:t>
      </w:r>
      <w:r w:rsidR="002219EA" w:rsidRPr="002219EA">
        <w:t xml:space="preserve">.1. The Corporate Debt Policy captures and builds on best practice already conducted at service levels. The policy clearly states that the Council will operate in accordance with all relevant legal, financial, and regulatory requirements, including the Public Sector Equality Duty. </w:t>
      </w:r>
    </w:p>
    <w:p w14:paraId="41A266B4" w14:textId="77777777" w:rsidR="002219EA" w:rsidRPr="002219EA" w:rsidRDefault="002219EA" w:rsidP="002219EA">
      <w:pPr>
        <w:spacing w:after="0"/>
        <w:ind w:left="720"/>
        <w:rPr>
          <w:rFonts w:ascii="Times New Roman" w:hAnsi="Times New Roman"/>
          <w:color w:val="auto"/>
          <w:szCs w:val="20"/>
        </w:rPr>
      </w:pPr>
      <w:r w:rsidRPr="002219EA">
        <w:rPr>
          <w:color w:val="auto"/>
          <w:szCs w:val="20"/>
        </w:rPr>
        <w:t xml:space="preserve"> </w:t>
      </w:r>
    </w:p>
    <w:p w14:paraId="0E4AE521" w14:textId="2B125607" w:rsidR="002219EA" w:rsidRPr="002219EA" w:rsidRDefault="00B85BD0" w:rsidP="00FC52C7">
      <w:r w:rsidRPr="00FC52C7">
        <w:t>4</w:t>
      </w:r>
      <w:r w:rsidR="002219EA" w:rsidRPr="002219EA">
        <w:t xml:space="preserve">.2. A key focus of the policy is making clear we must appropriately treat potentially vulnerable groups, where vulnerability may arise due to age, disability, health issues or those experiencing poverty or financial hardship. It also identifies best practice principles for charging our customers and the methods of payment we will use. </w:t>
      </w:r>
    </w:p>
    <w:p w14:paraId="6A44DF61" w14:textId="77777777" w:rsidR="002219EA" w:rsidRPr="002219EA" w:rsidRDefault="002219EA" w:rsidP="002219EA">
      <w:pPr>
        <w:spacing w:after="0"/>
        <w:ind w:left="720"/>
        <w:rPr>
          <w:rFonts w:ascii="Times New Roman" w:hAnsi="Times New Roman"/>
          <w:color w:val="auto"/>
          <w:szCs w:val="20"/>
        </w:rPr>
      </w:pPr>
      <w:r w:rsidRPr="002219EA">
        <w:rPr>
          <w:color w:val="auto"/>
          <w:szCs w:val="20"/>
        </w:rPr>
        <w:t xml:space="preserve"> </w:t>
      </w:r>
    </w:p>
    <w:p w14:paraId="6F3A7583" w14:textId="0246EB43" w:rsidR="002219EA" w:rsidRPr="002219EA" w:rsidRDefault="00B85BD0" w:rsidP="00FC52C7">
      <w:r w:rsidRPr="00FC52C7">
        <w:t>4</w:t>
      </w:r>
      <w:r w:rsidR="002219EA" w:rsidRPr="002219EA">
        <w:t xml:space="preserve">.3. Such approaches help avoid customers falling into debt in the first place and fits in with the Council's ongoing wider agenda to provide excellent quality, modern public services. Clarity over how to manage customers with multiple Council debts will help minimise the impact of being in debt. Overall, approval of the Corporate Debt Policy should therefore have a positive impact.  </w:t>
      </w:r>
    </w:p>
    <w:p w14:paraId="77C16032" w14:textId="77777777" w:rsidR="002219EA" w:rsidRPr="002219EA" w:rsidRDefault="002219EA" w:rsidP="002219EA"/>
    <w:p w14:paraId="6F7132CF" w14:textId="600C5F3F" w:rsidR="002329CF" w:rsidRPr="001356F1" w:rsidRDefault="00826746" w:rsidP="0050321C">
      <w:pPr>
        <w:pStyle w:val="Heading1"/>
      </w:pPr>
      <w:r>
        <w:t xml:space="preserve">5. </w:t>
      </w:r>
      <w:r w:rsidR="002329CF" w:rsidRPr="001356F1">
        <w:t xml:space="preserve">Equalities impact </w:t>
      </w:r>
    </w:p>
    <w:p w14:paraId="621A68A1" w14:textId="2E566766" w:rsidR="00863836" w:rsidRPr="00863836" w:rsidRDefault="00826746" w:rsidP="00826746">
      <w:r w:rsidRPr="00826746">
        <w:t>5</w:t>
      </w:r>
      <w:r w:rsidR="00863836" w:rsidRPr="00863836">
        <w:t>.1. The main potential impact with this policy arises from the debts accrued through Council Tax and Housing rent arrears and can be associated with the socio-disadvantaged residents and low earners where there will inevitably be groups with protected characteristics. The following table identifies potential risks and factors that may mitigate this.</w:t>
      </w:r>
    </w:p>
    <w:p w14:paraId="2A2CC9F9" w14:textId="77777777" w:rsidR="00863836" w:rsidRPr="00863836" w:rsidRDefault="00863836" w:rsidP="00863836">
      <w:pPr>
        <w:spacing w:after="0"/>
        <w:ind w:left="720"/>
        <w:rPr>
          <w:color w:val="auto"/>
          <w:szCs w:val="20"/>
        </w:rPr>
      </w:pPr>
    </w:p>
    <w:tbl>
      <w:tblPr>
        <w:tblpPr w:leftFromText="180" w:rightFromText="180" w:vertAnchor="text" w:horzAnchor="margin" w:tblpY="122"/>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5595"/>
      </w:tblGrid>
      <w:tr w:rsidR="00863836" w:rsidRPr="00863836" w14:paraId="0C829BED" w14:textId="77777777" w:rsidTr="00F05AEC">
        <w:tc>
          <w:tcPr>
            <w:tcW w:w="3697" w:type="dxa"/>
            <w:tcBorders>
              <w:top w:val="single" w:sz="4" w:space="0" w:color="auto"/>
              <w:left w:val="single" w:sz="4" w:space="0" w:color="auto"/>
              <w:bottom w:val="single" w:sz="4" w:space="0" w:color="auto"/>
              <w:right w:val="single" w:sz="4" w:space="0" w:color="auto"/>
            </w:tcBorders>
            <w:shd w:val="clear" w:color="auto" w:fill="auto"/>
          </w:tcPr>
          <w:p w14:paraId="134D1500" w14:textId="77777777" w:rsidR="00863836" w:rsidRPr="00863836" w:rsidRDefault="00863836" w:rsidP="00863836">
            <w:pPr>
              <w:spacing w:after="0"/>
              <w:ind w:left="720"/>
              <w:rPr>
                <w:rFonts w:eastAsia="Calibri" w:cs="Arial"/>
                <w:b/>
                <w:color w:val="auto"/>
              </w:rPr>
            </w:pPr>
            <w:r w:rsidRPr="00863836">
              <w:rPr>
                <w:rFonts w:eastAsia="Calibri" w:cs="Arial"/>
                <w:b/>
                <w:color w:val="auto"/>
              </w:rPr>
              <w:t>Risks</w:t>
            </w:r>
          </w:p>
        </w:tc>
        <w:tc>
          <w:tcPr>
            <w:tcW w:w="5595" w:type="dxa"/>
            <w:tcBorders>
              <w:top w:val="single" w:sz="4" w:space="0" w:color="auto"/>
              <w:left w:val="single" w:sz="4" w:space="0" w:color="auto"/>
              <w:bottom w:val="single" w:sz="4" w:space="0" w:color="auto"/>
              <w:right w:val="single" w:sz="4" w:space="0" w:color="auto"/>
            </w:tcBorders>
          </w:tcPr>
          <w:p w14:paraId="0F2B55AE" w14:textId="77777777" w:rsidR="00863836" w:rsidRPr="00863836" w:rsidRDefault="00863836" w:rsidP="00863836">
            <w:pPr>
              <w:spacing w:after="0"/>
              <w:ind w:left="202"/>
              <w:rPr>
                <w:rFonts w:eastAsia="Calibri" w:cs="Arial"/>
                <w:b/>
                <w:color w:val="auto"/>
              </w:rPr>
            </w:pPr>
            <w:r w:rsidRPr="00863836">
              <w:rPr>
                <w:rFonts w:eastAsia="Calibri" w:cs="Arial"/>
                <w:b/>
                <w:color w:val="auto"/>
              </w:rPr>
              <w:t>Mitigations</w:t>
            </w:r>
          </w:p>
        </w:tc>
      </w:tr>
      <w:tr w:rsidR="00863836" w:rsidRPr="00863836" w14:paraId="6F8A902E" w14:textId="77777777" w:rsidTr="00F05AEC">
        <w:tc>
          <w:tcPr>
            <w:tcW w:w="3697" w:type="dxa"/>
            <w:tcBorders>
              <w:top w:val="single" w:sz="4" w:space="0" w:color="auto"/>
              <w:left w:val="single" w:sz="4" w:space="0" w:color="auto"/>
              <w:bottom w:val="single" w:sz="4" w:space="0" w:color="auto"/>
              <w:right w:val="single" w:sz="4" w:space="0" w:color="auto"/>
            </w:tcBorders>
            <w:shd w:val="clear" w:color="auto" w:fill="auto"/>
          </w:tcPr>
          <w:p w14:paraId="09A490EB" w14:textId="77777777" w:rsidR="00863836" w:rsidRPr="00863836" w:rsidRDefault="00863836" w:rsidP="00863836">
            <w:pPr>
              <w:spacing w:after="0"/>
              <w:ind w:left="180"/>
              <w:rPr>
                <w:rFonts w:eastAsia="Calibri" w:cs="Arial"/>
                <w:color w:val="auto"/>
              </w:rPr>
            </w:pPr>
            <w:r w:rsidRPr="00863836">
              <w:rPr>
                <w:rFonts w:eastAsia="Calibri" w:cs="Arial"/>
                <w:color w:val="auto"/>
              </w:rPr>
              <w:t>Seeking to eradicate payment by cash or cheque could adversely affect those in this category as they will be less likely to have access to the alternative forms of payment.</w:t>
            </w:r>
          </w:p>
          <w:p w14:paraId="0958353B" w14:textId="77777777" w:rsidR="00863836" w:rsidRPr="00863836" w:rsidRDefault="00863836" w:rsidP="00863836">
            <w:pPr>
              <w:spacing w:after="0"/>
              <w:ind w:left="180"/>
              <w:rPr>
                <w:rFonts w:eastAsia="Calibri" w:cs="Arial"/>
                <w:color w:val="auto"/>
              </w:rPr>
            </w:pPr>
          </w:p>
        </w:tc>
        <w:tc>
          <w:tcPr>
            <w:tcW w:w="5595" w:type="dxa"/>
            <w:tcBorders>
              <w:top w:val="single" w:sz="4" w:space="0" w:color="auto"/>
              <w:left w:val="single" w:sz="4" w:space="0" w:color="auto"/>
              <w:right w:val="single" w:sz="4" w:space="0" w:color="auto"/>
            </w:tcBorders>
          </w:tcPr>
          <w:p w14:paraId="17FED235" w14:textId="77777777" w:rsidR="00863836" w:rsidRPr="00863836" w:rsidRDefault="00863836" w:rsidP="00863836">
            <w:pPr>
              <w:spacing w:after="0"/>
              <w:rPr>
                <w:rFonts w:eastAsia="Calibri" w:cs="Arial"/>
                <w:color w:val="auto"/>
              </w:rPr>
            </w:pPr>
            <w:r w:rsidRPr="00863836">
              <w:rPr>
                <w:rFonts w:eastAsia="Calibri" w:cs="Arial"/>
                <w:color w:val="auto"/>
              </w:rPr>
              <w:t>Work with relevant groups to educate and raise capability to manage finances through electronic methods. Ensure collection staff are aware of the need to support this.</w:t>
            </w:r>
          </w:p>
          <w:p w14:paraId="25D2F074" w14:textId="77777777" w:rsidR="00863836" w:rsidRPr="00863836" w:rsidRDefault="00863836" w:rsidP="00863836">
            <w:pPr>
              <w:spacing w:after="0"/>
              <w:rPr>
                <w:rFonts w:eastAsia="Calibri" w:cs="Arial"/>
                <w:color w:val="auto"/>
              </w:rPr>
            </w:pPr>
          </w:p>
          <w:p w14:paraId="285F6AA2" w14:textId="77777777" w:rsidR="00863836" w:rsidRPr="00863836" w:rsidRDefault="00863836" w:rsidP="00863836">
            <w:pPr>
              <w:spacing w:after="0"/>
              <w:rPr>
                <w:rFonts w:eastAsia="Calibri" w:cs="Arial"/>
                <w:color w:val="auto"/>
              </w:rPr>
            </w:pPr>
            <w:r w:rsidRPr="00863836">
              <w:rPr>
                <w:rFonts w:eastAsia="Calibri" w:cs="Arial"/>
              </w:rPr>
              <w:lastRenderedPageBreak/>
              <w:t>To consider the impact on the debtor of the consequences of any recovery options pursued, and proportionality of these</w:t>
            </w:r>
            <w:r w:rsidRPr="00863836">
              <w:rPr>
                <w:rFonts w:eastAsia="Calibri" w:cs="Arial"/>
                <w:color w:val="auto"/>
              </w:rPr>
              <w:t>.</w:t>
            </w:r>
          </w:p>
        </w:tc>
      </w:tr>
      <w:tr w:rsidR="00863836" w:rsidRPr="00863836" w14:paraId="0C1D2CC1" w14:textId="77777777" w:rsidTr="00F05AEC">
        <w:tc>
          <w:tcPr>
            <w:tcW w:w="3697" w:type="dxa"/>
            <w:tcBorders>
              <w:top w:val="single" w:sz="4" w:space="0" w:color="auto"/>
              <w:left w:val="single" w:sz="4" w:space="0" w:color="auto"/>
              <w:bottom w:val="single" w:sz="4" w:space="0" w:color="auto"/>
              <w:right w:val="single" w:sz="4" w:space="0" w:color="auto"/>
            </w:tcBorders>
            <w:shd w:val="clear" w:color="auto" w:fill="auto"/>
          </w:tcPr>
          <w:p w14:paraId="31CA31EB" w14:textId="77777777" w:rsidR="00863836" w:rsidRPr="00863836" w:rsidRDefault="00863836" w:rsidP="00863836">
            <w:pPr>
              <w:spacing w:after="0"/>
              <w:ind w:left="180"/>
              <w:rPr>
                <w:rFonts w:eastAsia="Calibri" w:cs="Arial"/>
                <w:color w:val="auto"/>
              </w:rPr>
            </w:pPr>
            <w:r w:rsidRPr="00863836">
              <w:rPr>
                <w:rFonts w:eastAsia="Calibri" w:cs="Arial"/>
                <w:color w:val="auto"/>
              </w:rPr>
              <w:lastRenderedPageBreak/>
              <w:t>Inability to pay off debts or the negative impact of being unable to meet repayment agreements.</w:t>
            </w:r>
          </w:p>
        </w:tc>
        <w:tc>
          <w:tcPr>
            <w:tcW w:w="5595" w:type="dxa"/>
            <w:tcBorders>
              <w:left w:val="single" w:sz="4" w:space="0" w:color="auto"/>
              <w:right w:val="single" w:sz="4" w:space="0" w:color="auto"/>
            </w:tcBorders>
          </w:tcPr>
          <w:p w14:paraId="34E9CBEE" w14:textId="77777777" w:rsidR="00863836" w:rsidRPr="00863836" w:rsidRDefault="00863836" w:rsidP="00863836">
            <w:pPr>
              <w:spacing w:after="0"/>
              <w:rPr>
                <w:rFonts w:eastAsia="Calibri" w:cs="Arial"/>
                <w:color w:val="auto"/>
                <w:szCs w:val="20"/>
              </w:rPr>
            </w:pPr>
            <w:r w:rsidRPr="00863836">
              <w:rPr>
                <w:rFonts w:eastAsia="Calibri" w:cs="Arial"/>
                <w:color w:val="auto"/>
                <w:szCs w:val="20"/>
              </w:rPr>
              <w:t>Individual case review and realistic repayment plans. Recognise the difference between the debtor who will not pay and the debtor that cannot.</w:t>
            </w:r>
          </w:p>
          <w:p w14:paraId="08412ED9" w14:textId="77777777" w:rsidR="00863836" w:rsidRPr="00863836" w:rsidRDefault="00863836" w:rsidP="00863836">
            <w:pPr>
              <w:spacing w:after="0"/>
              <w:rPr>
                <w:rFonts w:eastAsia="Calibri" w:cs="Arial"/>
                <w:color w:val="auto"/>
              </w:rPr>
            </w:pPr>
          </w:p>
          <w:p w14:paraId="47AEF5F3" w14:textId="77777777" w:rsidR="00863836" w:rsidRPr="00863836" w:rsidRDefault="00863836" w:rsidP="00863836">
            <w:pPr>
              <w:rPr>
                <w:rFonts w:eastAsia="Calibri" w:cs="Arial"/>
                <w:iCs/>
                <w:color w:val="auto"/>
              </w:rPr>
            </w:pPr>
            <w:r w:rsidRPr="00863836">
              <w:rPr>
                <w:rFonts w:eastAsia="Calibri" w:cs="Arial"/>
                <w:iCs/>
                <w:color w:val="auto"/>
              </w:rPr>
              <w:t>Where appropriate, to encourage the debtor to contact relevant organisations for debt management advice.</w:t>
            </w:r>
          </w:p>
          <w:p w14:paraId="1E1E512F" w14:textId="77777777" w:rsidR="00863836" w:rsidRPr="00863836" w:rsidRDefault="00863836" w:rsidP="00863836">
            <w:pPr>
              <w:spacing w:after="0"/>
              <w:ind w:left="22"/>
              <w:rPr>
                <w:rFonts w:eastAsia="Calibri" w:cs="Arial"/>
                <w:color w:val="auto"/>
              </w:rPr>
            </w:pPr>
            <w:r w:rsidRPr="00863836">
              <w:rPr>
                <w:rFonts w:eastAsia="Calibri" w:cs="Arial"/>
              </w:rPr>
              <w:t>Ability to pay is a paramount concern when considering debt recovery. Discounts against Council Tax, and statutory benefits against Council house rents are provided on application, which are designed to offset the effects of low income and the ability to pay.</w:t>
            </w:r>
          </w:p>
        </w:tc>
      </w:tr>
    </w:tbl>
    <w:p w14:paraId="7D45C74C" w14:textId="77777777" w:rsidR="00FB3B71" w:rsidRDefault="00FB3B71" w:rsidP="00FB3B71">
      <w:pPr>
        <w:pStyle w:val="bParagraphtext"/>
        <w:numPr>
          <w:ilvl w:val="0"/>
          <w:numId w:val="0"/>
        </w:numPr>
        <w:rPr>
          <w:b/>
        </w:rPr>
      </w:pPr>
    </w:p>
    <w:p w14:paraId="78FBB27B" w14:textId="77777777" w:rsidR="00FB3B71" w:rsidRPr="00FB3B71" w:rsidRDefault="00FB3B71" w:rsidP="00FB3B71">
      <w:pPr>
        <w:pStyle w:val="bParagraphtext"/>
        <w:numPr>
          <w:ilvl w:val="0"/>
          <w:numId w:val="0"/>
        </w:numPr>
        <w:rPr>
          <w:b/>
        </w:rPr>
      </w:pPr>
      <w:r w:rsidRPr="00FB3B71">
        <w:rPr>
          <w:b/>
        </w:rPr>
        <w:t>Conclusion</w:t>
      </w:r>
    </w:p>
    <w:p w14:paraId="6FACFB8C" w14:textId="0D00F21A" w:rsidR="00C565E9" w:rsidRPr="00C565E9" w:rsidRDefault="003762E1" w:rsidP="003762E1">
      <w:r w:rsidRPr="003762E1">
        <w:t>6</w:t>
      </w:r>
      <w:r w:rsidR="00C565E9" w:rsidRPr="00C565E9">
        <w:t>.1. In simple terms a Debt Management Policy should</w:t>
      </w:r>
      <w:r w:rsidR="002E1153">
        <w:t>:</w:t>
      </w:r>
    </w:p>
    <w:p w14:paraId="5A3B2E08" w14:textId="77777777" w:rsidR="00C565E9" w:rsidRPr="00C565E9" w:rsidRDefault="00C565E9" w:rsidP="003762E1">
      <w:pPr>
        <w:pStyle w:val="ListParagraph"/>
        <w:numPr>
          <w:ilvl w:val="0"/>
          <w:numId w:val="36"/>
        </w:numPr>
      </w:pPr>
      <w:r w:rsidRPr="00C565E9">
        <w:t>Set out policies and procedures that the Council will adhere to in the collection of the debt.</w:t>
      </w:r>
    </w:p>
    <w:p w14:paraId="2B61D2A2" w14:textId="77777777" w:rsidR="00C565E9" w:rsidRPr="00C565E9" w:rsidRDefault="00C565E9" w:rsidP="003762E1">
      <w:pPr>
        <w:pStyle w:val="ListParagraph"/>
        <w:numPr>
          <w:ilvl w:val="0"/>
          <w:numId w:val="36"/>
        </w:numPr>
      </w:pPr>
      <w:r w:rsidRPr="00C565E9">
        <w:t>Ensure that debt is collected cost effectively and at acceptable target levels.</w:t>
      </w:r>
    </w:p>
    <w:p w14:paraId="41DAAC51" w14:textId="17B90E8A" w:rsidR="00C565E9" w:rsidRDefault="00C565E9" w:rsidP="002E1153">
      <w:pPr>
        <w:pStyle w:val="ListParagraph"/>
        <w:numPr>
          <w:ilvl w:val="0"/>
          <w:numId w:val="36"/>
        </w:numPr>
      </w:pPr>
      <w:r w:rsidRPr="00C565E9">
        <w:t xml:space="preserve">Have recognition of the personal financial circumstances of debtors. </w:t>
      </w:r>
    </w:p>
    <w:p w14:paraId="20939C13" w14:textId="77777777" w:rsidR="009B636C" w:rsidRPr="009B636C" w:rsidRDefault="009B636C" w:rsidP="009B636C">
      <w:pPr>
        <w:pStyle w:val="ListParagraph"/>
        <w:numPr>
          <w:ilvl w:val="0"/>
          <w:numId w:val="0"/>
        </w:numPr>
        <w:ind w:left="1440"/>
      </w:pPr>
    </w:p>
    <w:p w14:paraId="7D117FDB" w14:textId="6B9BC940" w:rsidR="00C565E9" w:rsidRPr="00C565E9" w:rsidRDefault="003762E1" w:rsidP="002E1153">
      <w:r w:rsidRPr="002E1153">
        <w:t>6</w:t>
      </w:r>
      <w:r w:rsidR="00C565E9" w:rsidRPr="00C565E9">
        <w:t xml:space="preserve">.2. The revised Debt Management Policy seeks to lay down a policy to which the principles in paragraph </w:t>
      </w:r>
      <w:r w:rsidR="00C565E9">
        <w:t>6</w:t>
      </w:r>
      <w:r w:rsidR="00C565E9" w:rsidRPr="00C565E9">
        <w:t>.1 above can be applied. There are no substantial changes from the policy approved by Members previously although Members should note the intention of officers to undertake more work around those debtors owing the Council multiple debts.</w:t>
      </w:r>
    </w:p>
    <w:p w14:paraId="2362EBFF" w14:textId="77777777" w:rsidR="00C565E9" w:rsidRPr="00C565E9" w:rsidRDefault="00C565E9" w:rsidP="00C565E9">
      <w:pPr>
        <w:ind w:left="426" w:hanging="426"/>
      </w:pPr>
    </w:p>
    <w:p w14:paraId="25045DCB" w14:textId="43DD669D" w:rsidR="00C565E9" w:rsidRPr="00C565E9" w:rsidRDefault="003762E1" w:rsidP="009B636C">
      <w:r w:rsidRPr="009B636C">
        <w:t>6</w:t>
      </w:r>
      <w:r w:rsidR="00C565E9" w:rsidRPr="00C565E9">
        <w:t>.3. It is proposed that the Corporate Debt Policy is reviewed again in 2026, once further feedback is available following the completion of the various operational service reviews.</w:t>
      </w:r>
    </w:p>
    <w:p w14:paraId="4AB85F8B"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256609B3"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1E36395B"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21431414" w14:textId="5C76F553" w:rsidR="00E87F7A" w:rsidRPr="001356F1" w:rsidRDefault="00995DA0" w:rsidP="00A46E98">
            <w:r>
              <w:t>Philip McGaskill</w:t>
            </w:r>
          </w:p>
        </w:tc>
      </w:tr>
      <w:tr w:rsidR="00DF093E" w:rsidRPr="001356F1" w14:paraId="42F4C09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568EE7FA"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43663464" w14:textId="7EBBAE5A" w:rsidR="00E87F7A" w:rsidRPr="001356F1" w:rsidRDefault="00995DA0" w:rsidP="00A46E98">
            <w:r>
              <w:t>Revenues Service Delivery Manager</w:t>
            </w:r>
          </w:p>
        </w:tc>
      </w:tr>
      <w:tr w:rsidR="00DF093E" w:rsidRPr="001356F1" w14:paraId="677A67E0" w14:textId="77777777" w:rsidTr="00A46E98">
        <w:trPr>
          <w:cantSplit/>
          <w:trHeight w:val="396"/>
        </w:trPr>
        <w:tc>
          <w:tcPr>
            <w:tcW w:w="3969" w:type="dxa"/>
            <w:tcBorders>
              <w:top w:val="nil"/>
              <w:left w:val="single" w:sz="8" w:space="0" w:color="000000"/>
              <w:bottom w:val="nil"/>
              <w:right w:val="nil"/>
            </w:tcBorders>
            <w:shd w:val="clear" w:color="auto" w:fill="auto"/>
          </w:tcPr>
          <w:p w14:paraId="428E0A2C"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5E290A3B" w14:textId="6CACF283" w:rsidR="00E87F7A" w:rsidRPr="001356F1" w:rsidRDefault="00995DA0" w:rsidP="00A46E98">
            <w:r>
              <w:t>Finance</w:t>
            </w:r>
          </w:p>
        </w:tc>
      </w:tr>
      <w:tr w:rsidR="00DF093E" w:rsidRPr="001356F1" w14:paraId="624BB3BA" w14:textId="77777777" w:rsidTr="00A46E98">
        <w:trPr>
          <w:cantSplit/>
          <w:trHeight w:val="396"/>
        </w:trPr>
        <w:tc>
          <w:tcPr>
            <w:tcW w:w="3969" w:type="dxa"/>
            <w:tcBorders>
              <w:top w:val="nil"/>
              <w:left w:val="single" w:sz="8" w:space="0" w:color="000000"/>
              <w:bottom w:val="nil"/>
              <w:right w:val="nil"/>
            </w:tcBorders>
            <w:shd w:val="clear" w:color="auto" w:fill="auto"/>
          </w:tcPr>
          <w:p w14:paraId="5DEFF289"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59385CC4" w14:textId="777F60AE" w:rsidR="00E87F7A" w:rsidRPr="001356F1" w:rsidRDefault="00E87F7A" w:rsidP="00A46E98">
            <w:r w:rsidRPr="001356F1">
              <w:t xml:space="preserve">01865 </w:t>
            </w:r>
            <w:r w:rsidR="00995DA0">
              <w:t>252514</w:t>
            </w:r>
            <w:r w:rsidRPr="001356F1">
              <w:t xml:space="preserve">  </w:t>
            </w:r>
          </w:p>
        </w:tc>
      </w:tr>
      <w:tr w:rsidR="005570B5" w:rsidRPr="001356F1" w14:paraId="6D16748E"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D3ACF53"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24305415" w14:textId="1678A3F9" w:rsidR="00E87F7A" w:rsidRPr="001356F1" w:rsidRDefault="00995DA0" w:rsidP="00A46E98">
            <w:pPr>
              <w:rPr>
                <w:rStyle w:val="Hyperlink"/>
                <w:color w:val="000000"/>
              </w:rPr>
            </w:pPr>
            <w:r>
              <w:rPr>
                <w:rStyle w:val="Hyperlink"/>
                <w:color w:val="000000"/>
              </w:rPr>
              <w:t>pmcgaskill@</w:t>
            </w:r>
            <w:r w:rsidR="00665F67">
              <w:rPr>
                <w:rStyle w:val="Hyperlink"/>
                <w:color w:val="000000"/>
              </w:rPr>
              <w:t>oxford.gov.uk</w:t>
            </w:r>
          </w:p>
        </w:tc>
      </w:tr>
    </w:tbl>
    <w:p w14:paraId="6DC6C396" w14:textId="77777777" w:rsidR="004456DD" w:rsidRPr="009E51FC" w:rsidRDefault="004456DD" w:rsidP="0026341A"/>
    <w:sectPr w:rsidR="004456DD" w:rsidRPr="009E51FC" w:rsidSect="002B6836">
      <w:footerReference w:type="even" r:id="rId8"/>
      <w:headerReference w:type="first" r:id="rId9"/>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936B" w14:textId="77777777" w:rsidR="00FB3B71" w:rsidRDefault="00FB3B71" w:rsidP="004A6D2F">
      <w:r>
        <w:separator/>
      </w:r>
    </w:p>
  </w:endnote>
  <w:endnote w:type="continuationSeparator" w:id="0">
    <w:p w14:paraId="29065D83" w14:textId="77777777" w:rsidR="00FB3B71" w:rsidRDefault="00FB3B71"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98DC" w14:textId="77777777" w:rsidR="00364FAD" w:rsidRDefault="00364FAD" w:rsidP="004A6D2F">
    <w:pPr>
      <w:pStyle w:val="Footer"/>
    </w:pPr>
    <w:r>
      <w:t>Do not use a footer or page numbers.</w:t>
    </w:r>
  </w:p>
  <w:p w14:paraId="57DCDE00" w14:textId="77777777" w:rsidR="00364FAD" w:rsidRDefault="00364FAD" w:rsidP="004A6D2F">
    <w:pPr>
      <w:pStyle w:val="Footer"/>
    </w:pPr>
  </w:p>
  <w:p w14:paraId="4F3D9B0A"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5EE6F" w14:textId="77777777" w:rsidR="00FB3B71" w:rsidRDefault="00FB3B71" w:rsidP="004A6D2F">
      <w:r>
        <w:separator/>
      </w:r>
    </w:p>
  </w:footnote>
  <w:footnote w:type="continuationSeparator" w:id="0">
    <w:p w14:paraId="6BBA146F" w14:textId="77777777" w:rsidR="00FB3B71" w:rsidRDefault="00FB3B71"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CDFE" w14:textId="77777777" w:rsidR="00D5547E" w:rsidRDefault="00C05260" w:rsidP="00D5547E">
    <w:pPr>
      <w:pStyle w:val="Header"/>
      <w:jc w:val="right"/>
    </w:pPr>
    <w:r>
      <w:rPr>
        <w:noProof/>
      </w:rPr>
      <w:drawing>
        <wp:inline distT="0" distB="0" distL="0" distR="0" wp14:anchorId="07501217" wp14:editId="25D2AC50">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2263A6A"/>
    <w:multiLevelType w:val="multilevel"/>
    <w:tmpl w:val="43D6D2FA"/>
    <w:numStyleLink w:val="StyleBulletedSymbolsymbolLeft063cmHanging063cm"/>
  </w:abstractNum>
  <w:abstractNum w:abstractNumId="18"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011E23"/>
    <w:multiLevelType w:val="hybridMultilevel"/>
    <w:tmpl w:val="5A04A2A0"/>
    <w:lvl w:ilvl="0" w:tplc="5DFE596C">
      <w:start w:val="1"/>
      <w:numFmt w:val="bullet"/>
      <w:lvlText w:val=""/>
      <w:lvlJc w:val="left"/>
      <w:pPr>
        <w:ind w:left="1080" w:hanging="360"/>
      </w:pPr>
      <w:rPr>
        <w:rFonts w:ascii="Symbol" w:hAnsi="Symbol" w:hint="default"/>
      </w:rPr>
    </w:lvl>
    <w:lvl w:ilvl="1" w:tplc="200246A8">
      <w:start w:val="1"/>
      <w:numFmt w:val="bullet"/>
      <w:lvlText w:val="o"/>
      <w:lvlJc w:val="left"/>
      <w:pPr>
        <w:ind w:left="1800" w:hanging="360"/>
      </w:pPr>
      <w:rPr>
        <w:rFonts w:ascii="Courier New" w:hAnsi="Courier New" w:hint="default"/>
      </w:rPr>
    </w:lvl>
    <w:lvl w:ilvl="2" w:tplc="1A4E7936">
      <w:start w:val="1"/>
      <w:numFmt w:val="bullet"/>
      <w:lvlText w:val=""/>
      <w:lvlJc w:val="left"/>
      <w:pPr>
        <w:ind w:left="2520" w:hanging="360"/>
      </w:pPr>
      <w:rPr>
        <w:rFonts w:ascii="Wingdings" w:hAnsi="Wingdings" w:hint="default"/>
      </w:rPr>
    </w:lvl>
    <w:lvl w:ilvl="3" w:tplc="9F08A794">
      <w:start w:val="1"/>
      <w:numFmt w:val="bullet"/>
      <w:lvlText w:val=""/>
      <w:lvlJc w:val="left"/>
      <w:pPr>
        <w:ind w:left="3240" w:hanging="360"/>
      </w:pPr>
      <w:rPr>
        <w:rFonts w:ascii="Symbol" w:hAnsi="Symbol" w:hint="default"/>
      </w:rPr>
    </w:lvl>
    <w:lvl w:ilvl="4" w:tplc="6CA443DA">
      <w:start w:val="1"/>
      <w:numFmt w:val="bullet"/>
      <w:lvlText w:val="o"/>
      <w:lvlJc w:val="left"/>
      <w:pPr>
        <w:ind w:left="3960" w:hanging="360"/>
      </w:pPr>
      <w:rPr>
        <w:rFonts w:ascii="Courier New" w:hAnsi="Courier New" w:hint="default"/>
      </w:rPr>
    </w:lvl>
    <w:lvl w:ilvl="5" w:tplc="65BEBF9C">
      <w:start w:val="1"/>
      <w:numFmt w:val="bullet"/>
      <w:lvlText w:val=""/>
      <w:lvlJc w:val="left"/>
      <w:pPr>
        <w:ind w:left="4680" w:hanging="360"/>
      </w:pPr>
      <w:rPr>
        <w:rFonts w:ascii="Wingdings" w:hAnsi="Wingdings" w:hint="default"/>
      </w:rPr>
    </w:lvl>
    <w:lvl w:ilvl="6" w:tplc="74869DB6">
      <w:start w:val="1"/>
      <w:numFmt w:val="bullet"/>
      <w:lvlText w:val=""/>
      <w:lvlJc w:val="left"/>
      <w:pPr>
        <w:ind w:left="5400" w:hanging="360"/>
      </w:pPr>
      <w:rPr>
        <w:rFonts w:ascii="Symbol" w:hAnsi="Symbol" w:hint="default"/>
      </w:rPr>
    </w:lvl>
    <w:lvl w:ilvl="7" w:tplc="BC5A4732">
      <w:start w:val="1"/>
      <w:numFmt w:val="bullet"/>
      <w:lvlText w:val="o"/>
      <w:lvlJc w:val="left"/>
      <w:pPr>
        <w:ind w:left="6120" w:hanging="360"/>
      </w:pPr>
      <w:rPr>
        <w:rFonts w:ascii="Courier New" w:hAnsi="Courier New" w:hint="default"/>
      </w:rPr>
    </w:lvl>
    <w:lvl w:ilvl="8" w:tplc="9CD0829E">
      <w:start w:val="1"/>
      <w:numFmt w:val="bullet"/>
      <w:lvlText w:val=""/>
      <w:lvlJc w:val="left"/>
      <w:pPr>
        <w:ind w:left="6840" w:hanging="360"/>
      </w:pPr>
      <w:rPr>
        <w:rFonts w:ascii="Wingdings" w:hAnsi="Wingdings" w:hint="default"/>
      </w:r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B350F9"/>
    <w:multiLevelType w:val="hybridMultilevel"/>
    <w:tmpl w:val="0520D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BA5FD8"/>
    <w:multiLevelType w:val="multilevel"/>
    <w:tmpl w:val="43D6D2FA"/>
    <w:numStyleLink w:val="StyleBulletedSymbolsymbolLeft063cmHanging063cm"/>
  </w:abstractNum>
  <w:abstractNum w:abstractNumId="29"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22831"/>
    <w:multiLevelType w:val="multilevel"/>
    <w:tmpl w:val="43D6D2FA"/>
    <w:numStyleLink w:val="StyleBulletedSymbolsymbolLeft063cmHanging063cm"/>
  </w:abstractNum>
  <w:abstractNum w:abstractNumId="31"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295D3CE"/>
    <w:multiLevelType w:val="hybridMultilevel"/>
    <w:tmpl w:val="6504B9FC"/>
    <w:lvl w:ilvl="0" w:tplc="987E9800">
      <w:start w:val="1"/>
      <w:numFmt w:val="bullet"/>
      <w:lvlText w:val=""/>
      <w:lvlJc w:val="left"/>
      <w:pPr>
        <w:ind w:left="1065" w:hanging="360"/>
      </w:pPr>
      <w:rPr>
        <w:rFonts w:ascii="Symbol" w:hAnsi="Symbol" w:hint="default"/>
      </w:rPr>
    </w:lvl>
    <w:lvl w:ilvl="1" w:tplc="D430C5E0">
      <w:start w:val="1"/>
      <w:numFmt w:val="bullet"/>
      <w:lvlText w:val="o"/>
      <w:lvlJc w:val="left"/>
      <w:pPr>
        <w:ind w:left="1785" w:hanging="360"/>
      </w:pPr>
      <w:rPr>
        <w:rFonts w:ascii="Courier New" w:hAnsi="Courier New" w:hint="default"/>
      </w:rPr>
    </w:lvl>
    <w:lvl w:ilvl="2" w:tplc="9B966C7A">
      <w:start w:val="1"/>
      <w:numFmt w:val="bullet"/>
      <w:lvlText w:val=""/>
      <w:lvlJc w:val="left"/>
      <w:pPr>
        <w:ind w:left="2505" w:hanging="360"/>
      </w:pPr>
      <w:rPr>
        <w:rFonts w:ascii="Wingdings" w:hAnsi="Wingdings" w:hint="default"/>
      </w:rPr>
    </w:lvl>
    <w:lvl w:ilvl="3" w:tplc="DFE862DC">
      <w:start w:val="1"/>
      <w:numFmt w:val="bullet"/>
      <w:lvlText w:val=""/>
      <w:lvlJc w:val="left"/>
      <w:pPr>
        <w:ind w:left="3225" w:hanging="360"/>
      </w:pPr>
      <w:rPr>
        <w:rFonts w:ascii="Symbol" w:hAnsi="Symbol" w:hint="default"/>
      </w:rPr>
    </w:lvl>
    <w:lvl w:ilvl="4" w:tplc="31DAEA14">
      <w:start w:val="1"/>
      <w:numFmt w:val="bullet"/>
      <w:lvlText w:val="o"/>
      <w:lvlJc w:val="left"/>
      <w:pPr>
        <w:ind w:left="3945" w:hanging="360"/>
      </w:pPr>
      <w:rPr>
        <w:rFonts w:ascii="Courier New" w:hAnsi="Courier New" w:hint="default"/>
      </w:rPr>
    </w:lvl>
    <w:lvl w:ilvl="5" w:tplc="7F208906">
      <w:start w:val="1"/>
      <w:numFmt w:val="bullet"/>
      <w:lvlText w:val=""/>
      <w:lvlJc w:val="left"/>
      <w:pPr>
        <w:ind w:left="4665" w:hanging="360"/>
      </w:pPr>
      <w:rPr>
        <w:rFonts w:ascii="Wingdings" w:hAnsi="Wingdings" w:hint="default"/>
      </w:rPr>
    </w:lvl>
    <w:lvl w:ilvl="6" w:tplc="21B6CC7E">
      <w:start w:val="1"/>
      <w:numFmt w:val="bullet"/>
      <w:lvlText w:val=""/>
      <w:lvlJc w:val="left"/>
      <w:pPr>
        <w:ind w:left="5385" w:hanging="360"/>
      </w:pPr>
      <w:rPr>
        <w:rFonts w:ascii="Symbol" w:hAnsi="Symbol" w:hint="default"/>
      </w:rPr>
    </w:lvl>
    <w:lvl w:ilvl="7" w:tplc="99FE22D8">
      <w:start w:val="1"/>
      <w:numFmt w:val="bullet"/>
      <w:lvlText w:val="o"/>
      <w:lvlJc w:val="left"/>
      <w:pPr>
        <w:ind w:left="6105" w:hanging="360"/>
      </w:pPr>
      <w:rPr>
        <w:rFonts w:ascii="Courier New" w:hAnsi="Courier New" w:hint="default"/>
      </w:rPr>
    </w:lvl>
    <w:lvl w:ilvl="8" w:tplc="F9B6742C">
      <w:start w:val="1"/>
      <w:numFmt w:val="bullet"/>
      <w:lvlText w:val=""/>
      <w:lvlJc w:val="left"/>
      <w:pPr>
        <w:ind w:left="6825" w:hanging="360"/>
      </w:pPr>
      <w:rPr>
        <w:rFonts w:ascii="Wingdings" w:hAnsi="Wingdings" w:hint="default"/>
      </w:rPr>
    </w:lvl>
  </w:abstractNum>
  <w:abstractNum w:abstractNumId="35" w15:restartNumberingAfterBreak="0">
    <w:nsid w:val="78CF80A6"/>
    <w:multiLevelType w:val="hybridMultilevel"/>
    <w:tmpl w:val="96A2506A"/>
    <w:lvl w:ilvl="0" w:tplc="6870F7D2">
      <w:start w:val="1"/>
      <w:numFmt w:val="bullet"/>
      <w:lvlText w:val=""/>
      <w:lvlJc w:val="left"/>
      <w:pPr>
        <w:ind w:left="720" w:hanging="360"/>
      </w:pPr>
      <w:rPr>
        <w:rFonts w:ascii="Symbol" w:hAnsi="Symbol" w:hint="default"/>
      </w:rPr>
    </w:lvl>
    <w:lvl w:ilvl="1" w:tplc="D31A49CE">
      <w:start w:val="1"/>
      <w:numFmt w:val="bullet"/>
      <w:lvlText w:val="o"/>
      <w:lvlJc w:val="left"/>
      <w:pPr>
        <w:ind w:left="1440" w:hanging="360"/>
      </w:pPr>
      <w:rPr>
        <w:rFonts w:ascii="Courier New" w:hAnsi="Courier New" w:hint="default"/>
      </w:rPr>
    </w:lvl>
    <w:lvl w:ilvl="2" w:tplc="F07415B4">
      <w:start w:val="1"/>
      <w:numFmt w:val="bullet"/>
      <w:lvlText w:val=""/>
      <w:lvlJc w:val="left"/>
      <w:pPr>
        <w:ind w:left="2160" w:hanging="360"/>
      </w:pPr>
      <w:rPr>
        <w:rFonts w:ascii="Wingdings" w:hAnsi="Wingdings" w:hint="default"/>
      </w:rPr>
    </w:lvl>
    <w:lvl w:ilvl="3" w:tplc="E948F6B6">
      <w:start w:val="1"/>
      <w:numFmt w:val="bullet"/>
      <w:lvlText w:val=""/>
      <w:lvlJc w:val="left"/>
      <w:pPr>
        <w:ind w:left="2880" w:hanging="360"/>
      </w:pPr>
      <w:rPr>
        <w:rFonts w:ascii="Symbol" w:hAnsi="Symbol" w:hint="default"/>
      </w:rPr>
    </w:lvl>
    <w:lvl w:ilvl="4" w:tplc="6F9A0876">
      <w:start w:val="1"/>
      <w:numFmt w:val="bullet"/>
      <w:lvlText w:val="o"/>
      <w:lvlJc w:val="left"/>
      <w:pPr>
        <w:ind w:left="3600" w:hanging="360"/>
      </w:pPr>
      <w:rPr>
        <w:rFonts w:ascii="Courier New" w:hAnsi="Courier New" w:hint="default"/>
      </w:rPr>
    </w:lvl>
    <w:lvl w:ilvl="5" w:tplc="151C1EC8">
      <w:start w:val="1"/>
      <w:numFmt w:val="bullet"/>
      <w:lvlText w:val=""/>
      <w:lvlJc w:val="left"/>
      <w:pPr>
        <w:ind w:left="4320" w:hanging="360"/>
      </w:pPr>
      <w:rPr>
        <w:rFonts w:ascii="Wingdings" w:hAnsi="Wingdings" w:hint="default"/>
      </w:rPr>
    </w:lvl>
    <w:lvl w:ilvl="6" w:tplc="5AD069B8">
      <w:start w:val="1"/>
      <w:numFmt w:val="bullet"/>
      <w:lvlText w:val=""/>
      <w:lvlJc w:val="left"/>
      <w:pPr>
        <w:ind w:left="5040" w:hanging="360"/>
      </w:pPr>
      <w:rPr>
        <w:rFonts w:ascii="Symbol" w:hAnsi="Symbol" w:hint="default"/>
      </w:rPr>
    </w:lvl>
    <w:lvl w:ilvl="7" w:tplc="3EA6BF9C">
      <w:start w:val="1"/>
      <w:numFmt w:val="bullet"/>
      <w:lvlText w:val="o"/>
      <w:lvlJc w:val="left"/>
      <w:pPr>
        <w:ind w:left="5760" w:hanging="360"/>
      </w:pPr>
      <w:rPr>
        <w:rFonts w:ascii="Courier New" w:hAnsi="Courier New" w:hint="default"/>
      </w:rPr>
    </w:lvl>
    <w:lvl w:ilvl="8" w:tplc="6644C836">
      <w:start w:val="1"/>
      <w:numFmt w:val="bullet"/>
      <w:lvlText w:val=""/>
      <w:lvlJc w:val="left"/>
      <w:pPr>
        <w:ind w:left="6480" w:hanging="360"/>
      </w:pPr>
      <w:rPr>
        <w:rFonts w:ascii="Wingdings" w:hAnsi="Wingdings" w:hint="default"/>
      </w:rPr>
    </w:lvl>
  </w:abstractNum>
  <w:abstractNum w:abstractNumId="36" w15:restartNumberingAfterBreak="0">
    <w:nsid w:val="798365C6"/>
    <w:multiLevelType w:val="multilevel"/>
    <w:tmpl w:val="E67CE66C"/>
    <w:numStyleLink w:val="StyleNumberedLeft0cmHanging075cm"/>
  </w:abstractNum>
  <w:num w:numId="1" w16cid:durableId="775291064">
    <w:abstractNumId w:val="26"/>
  </w:num>
  <w:num w:numId="2" w16cid:durableId="1532959164">
    <w:abstractNumId w:val="32"/>
  </w:num>
  <w:num w:numId="3" w16cid:durableId="1290361359">
    <w:abstractNumId w:val="23"/>
  </w:num>
  <w:num w:numId="4" w16cid:durableId="185218260">
    <w:abstractNumId w:val="18"/>
  </w:num>
  <w:num w:numId="5" w16cid:durableId="401218958">
    <w:abstractNumId w:val="29"/>
  </w:num>
  <w:num w:numId="6" w16cid:durableId="1274747916">
    <w:abstractNumId w:val="33"/>
  </w:num>
  <w:num w:numId="7" w16cid:durableId="1986154355">
    <w:abstractNumId w:val="22"/>
  </w:num>
  <w:num w:numId="8" w16cid:durableId="1613584437">
    <w:abstractNumId w:val="20"/>
  </w:num>
  <w:num w:numId="9" w16cid:durableId="14691700">
    <w:abstractNumId w:val="13"/>
  </w:num>
  <w:num w:numId="10" w16cid:durableId="1000281582">
    <w:abstractNumId w:val="15"/>
  </w:num>
  <w:num w:numId="11" w16cid:durableId="1011760105">
    <w:abstractNumId w:val="25"/>
  </w:num>
  <w:num w:numId="12" w16cid:durableId="653922509">
    <w:abstractNumId w:val="24"/>
  </w:num>
  <w:num w:numId="13" w16cid:durableId="148795256">
    <w:abstractNumId w:val="10"/>
  </w:num>
  <w:num w:numId="14" w16cid:durableId="338236001">
    <w:abstractNumId w:val="36"/>
  </w:num>
  <w:num w:numId="15" w16cid:durableId="1139768300">
    <w:abstractNumId w:val="16"/>
  </w:num>
  <w:num w:numId="16" w16cid:durableId="160126213">
    <w:abstractNumId w:val="11"/>
  </w:num>
  <w:num w:numId="17" w16cid:durableId="1785424418">
    <w:abstractNumId w:val="28"/>
  </w:num>
  <w:num w:numId="18" w16cid:durableId="1950892782">
    <w:abstractNumId w:val="12"/>
  </w:num>
  <w:num w:numId="19" w16cid:durableId="1759325570">
    <w:abstractNumId w:val="30"/>
  </w:num>
  <w:num w:numId="20" w16cid:durableId="445270040">
    <w:abstractNumId w:val="17"/>
  </w:num>
  <w:num w:numId="21" w16cid:durableId="1289554202">
    <w:abstractNumId w:val="21"/>
  </w:num>
  <w:num w:numId="22" w16cid:durableId="392852628">
    <w:abstractNumId w:val="14"/>
  </w:num>
  <w:num w:numId="23" w16cid:durableId="1361276242">
    <w:abstractNumId w:val="31"/>
  </w:num>
  <w:num w:numId="24" w16cid:durableId="2113351665">
    <w:abstractNumId w:val="9"/>
  </w:num>
  <w:num w:numId="25" w16cid:durableId="370301270">
    <w:abstractNumId w:val="8"/>
  </w:num>
  <w:num w:numId="26" w16cid:durableId="139881060">
    <w:abstractNumId w:val="7"/>
  </w:num>
  <w:num w:numId="27" w16cid:durableId="1531911990">
    <w:abstractNumId w:val="6"/>
  </w:num>
  <w:num w:numId="28" w16cid:durableId="1425568258">
    <w:abstractNumId w:val="5"/>
  </w:num>
  <w:num w:numId="29" w16cid:durableId="96676162">
    <w:abstractNumId w:val="4"/>
  </w:num>
  <w:num w:numId="30" w16cid:durableId="460657423">
    <w:abstractNumId w:val="3"/>
  </w:num>
  <w:num w:numId="31" w16cid:durableId="1292977015">
    <w:abstractNumId w:val="2"/>
  </w:num>
  <w:num w:numId="32" w16cid:durableId="2092193014">
    <w:abstractNumId w:val="1"/>
  </w:num>
  <w:num w:numId="33" w16cid:durableId="41712026">
    <w:abstractNumId w:val="0"/>
  </w:num>
  <w:num w:numId="34" w16cid:durableId="332033411">
    <w:abstractNumId w:val="34"/>
  </w:num>
  <w:num w:numId="35" w16cid:durableId="505872508">
    <w:abstractNumId w:val="19"/>
  </w:num>
  <w:num w:numId="36" w16cid:durableId="1990859899">
    <w:abstractNumId w:val="27"/>
  </w:num>
  <w:num w:numId="37" w16cid:durableId="1773823063">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117D4"/>
    <w:rsid w:val="000314D7"/>
    <w:rsid w:val="00034054"/>
    <w:rsid w:val="0004449D"/>
    <w:rsid w:val="00045F8B"/>
    <w:rsid w:val="00046D2B"/>
    <w:rsid w:val="00056263"/>
    <w:rsid w:val="00063478"/>
    <w:rsid w:val="00064D8A"/>
    <w:rsid w:val="00064F82"/>
    <w:rsid w:val="00066510"/>
    <w:rsid w:val="00077523"/>
    <w:rsid w:val="000875D4"/>
    <w:rsid w:val="000B1DFC"/>
    <w:rsid w:val="000C089F"/>
    <w:rsid w:val="000C3928"/>
    <w:rsid w:val="000C5E8E"/>
    <w:rsid w:val="000F4751"/>
    <w:rsid w:val="0010524C"/>
    <w:rsid w:val="00111FB1"/>
    <w:rsid w:val="00113418"/>
    <w:rsid w:val="001356F1"/>
    <w:rsid w:val="00136994"/>
    <w:rsid w:val="0014128E"/>
    <w:rsid w:val="00151888"/>
    <w:rsid w:val="0016693C"/>
    <w:rsid w:val="00170A2D"/>
    <w:rsid w:val="001808BC"/>
    <w:rsid w:val="00182B81"/>
    <w:rsid w:val="0018619D"/>
    <w:rsid w:val="001A011E"/>
    <w:rsid w:val="001A066A"/>
    <w:rsid w:val="001A13E6"/>
    <w:rsid w:val="001A5731"/>
    <w:rsid w:val="001B42C3"/>
    <w:rsid w:val="001B770B"/>
    <w:rsid w:val="001C1A52"/>
    <w:rsid w:val="001C5D5E"/>
    <w:rsid w:val="001D678D"/>
    <w:rsid w:val="001E03F8"/>
    <w:rsid w:val="001E1678"/>
    <w:rsid w:val="001E3376"/>
    <w:rsid w:val="00205A09"/>
    <w:rsid w:val="002069B3"/>
    <w:rsid w:val="002159B9"/>
    <w:rsid w:val="002219EA"/>
    <w:rsid w:val="002329CF"/>
    <w:rsid w:val="00232F5B"/>
    <w:rsid w:val="00247C29"/>
    <w:rsid w:val="00260467"/>
    <w:rsid w:val="0026341A"/>
    <w:rsid w:val="00263EA3"/>
    <w:rsid w:val="00284F85"/>
    <w:rsid w:val="002870C3"/>
    <w:rsid w:val="00290915"/>
    <w:rsid w:val="002A1157"/>
    <w:rsid w:val="002A22E2"/>
    <w:rsid w:val="002B1A91"/>
    <w:rsid w:val="002B6836"/>
    <w:rsid w:val="002B7788"/>
    <w:rsid w:val="002C64F7"/>
    <w:rsid w:val="002E1153"/>
    <w:rsid w:val="002F41F2"/>
    <w:rsid w:val="00301BF3"/>
    <w:rsid w:val="0030208D"/>
    <w:rsid w:val="003205AB"/>
    <w:rsid w:val="00323418"/>
    <w:rsid w:val="003357BF"/>
    <w:rsid w:val="00362B60"/>
    <w:rsid w:val="00364FAD"/>
    <w:rsid w:val="00365824"/>
    <w:rsid w:val="0036738F"/>
    <w:rsid w:val="0036759C"/>
    <w:rsid w:val="00367AE5"/>
    <w:rsid w:val="00367D71"/>
    <w:rsid w:val="003762E1"/>
    <w:rsid w:val="0038150A"/>
    <w:rsid w:val="00385B1B"/>
    <w:rsid w:val="003B6E75"/>
    <w:rsid w:val="003B7DA1"/>
    <w:rsid w:val="003C77E3"/>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48E0"/>
    <w:rsid w:val="00462AB5"/>
    <w:rsid w:val="00462D22"/>
    <w:rsid w:val="00465EAF"/>
    <w:rsid w:val="004738C5"/>
    <w:rsid w:val="0047737B"/>
    <w:rsid w:val="00491046"/>
    <w:rsid w:val="00496078"/>
    <w:rsid w:val="004A2AC7"/>
    <w:rsid w:val="004A6D2F"/>
    <w:rsid w:val="004B11AE"/>
    <w:rsid w:val="004C2887"/>
    <w:rsid w:val="004D2626"/>
    <w:rsid w:val="004D6E26"/>
    <w:rsid w:val="004D77D3"/>
    <w:rsid w:val="004E2959"/>
    <w:rsid w:val="004F20EF"/>
    <w:rsid w:val="0050321C"/>
    <w:rsid w:val="00507ECC"/>
    <w:rsid w:val="0054712D"/>
    <w:rsid w:val="00547EF6"/>
    <w:rsid w:val="005570B5"/>
    <w:rsid w:val="00567E18"/>
    <w:rsid w:val="00575F5F"/>
    <w:rsid w:val="00581805"/>
    <w:rsid w:val="0058299F"/>
    <w:rsid w:val="00585F76"/>
    <w:rsid w:val="00591C46"/>
    <w:rsid w:val="005A34E4"/>
    <w:rsid w:val="005A6610"/>
    <w:rsid w:val="005B17F2"/>
    <w:rsid w:val="005B53DC"/>
    <w:rsid w:val="005B7FB0"/>
    <w:rsid w:val="005C35A5"/>
    <w:rsid w:val="005C577C"/>
    <w:rsid w:val="005D0621"/>
    <w:rsid w:val="005D1E27"/>
    <w:rsid w:val="005D2A3E"/>
    <w:rsid w:val="005E022E"/>
    <w:rsid w:val="005E5215"/>
    <w:rsid w:val="005E7761"/>
    <w:rsid w:val="005F7F7E"/>
    <w:rsid w:val="00614693"/>
    <w:rsid w:val="00623C2F"/>
    <w:rsid w:val="00633578"/>
    <w:rsid w:val="00637068"/>
    <w:rsid w:val="00650811"/>
    <w:rsid w:val="00661D3E"/>
    <w:rsid w:val="00665F67"/>
    <w:rsid w:val="00692627"/>
    <w:rsid w:val="006969E7"/>
    <w:rsid w:val="006A3643"/>
    <w:rsid w:val="006B10C2"/>
    <w:rsid w:val="006C2A29"/>
    <w:rsid w:val="006C64CF"/>
    <w:rsid w:val="006D17B1"/>
    <w:rsid w:val="006D4752"/>
    <w:rsid w:val="006D708A"/>
    <w:rsid w:val="006E14C1"/>
    <w:rsid w:val="006E6681"/>
    <w:rsid w:val="006F0292"/>
    <w:rsid w:val="006F03D5"/>
    <w:rsid w:val="006F27FA"/>
    <w:rsid w:val="006F416B"/>
    <w:rsid w:val="006F519B"/>
    <w:rsid w:val="00713675"/>
    <w:rsid w:val="00715823"/>
    <w:rsid w:val="00715F61"/>
    <w:rsid w:val="00721E63"/>
    <w:rsid w:val="007253EF"/>
    <w:rsid w:val="00737B93"/>
    <w:rsid w:val="00745BF0"/>
    <w:rsid w:val="00751EA3"/>
    <w:rsid w:val="007615FE"/>
    <w:rsid w:val="0076655C"/>
    <w:rsid w:val="007742DC"/>
    <w:rsid w:val="00791437"/>
    <w:rsid w:val="007B0C2C"/>
    <w:rsid w:val="007B278E"/>
    <w:rsid w:val="007B5CA2"/>
    <w:rsid w:val="007C5C23"/>
    <w:rsid w:val="007E2A26"/>
    <w:rsid w:val="007E796B"/>
    <w:rsid w:val="007F2348"/>
    <w:rsid w:val="007F4757"/>
    <w:rsid w:val="00803F07"/>
    <w:rsid w:val="0080749A"/>
    <w:rsid w:val="00821734"/>
    <w:rsid w:val="00821FB8"/>
    <w:rsid w:val="00822ACD"/>
    <w:rsid w:val="00826746"/>
    <w:rsid w:val="00855C66"/>
    <w:rsid w:val="00863836"/>
    <w:rsid w:val="00871EE4"/>
    <w:rsid w:val="008954DF"/>
    <w:rsid w:val="008A6489"/>
    <w:rsid w:val="008B293F"/>
    <w:rsid w:val="008B7371"/>
    <w:rsid w:val="008D3DDB"/>
    <w:rsid w:val="008F3B04"/>
    <w:rsid w:val="008F573F"/>
    <w:rsid w:val="009034EC"/>
    <w:rsid w:val="0093067A"/>
    <w:rsid w:val="00941C60"/>
    <w:rsid w:val="00941FD1"/>
    <w:rsid w:val="00944537"/>
    <w:rsid w:val="00950824"/>
    <w:rsid w:val="00966D42"/>
    <w:rsid w:val="00971689"/>
    <w:rsid w:val="0097170F"/>
    <w:rsid w:val="00973E90"/>
    <w:rsid w:val="00975B07"/>
    <w:rsid w:val="00980B4A"/>
    <w:rsid w:val="0098703A"/>
    <w:rsid w:val="009919E5"/>
    <w:rsid w:val="00995DA0"/>
    <w:rsid w:val="009B3E8A"/>
    <w:rsid w:val="009B636C"/>
    <w:rsid w:val="009E3D0A"/>
    <w:rsid w:val="009E51FC"/>
    <w:rsid w:val="009F1D28"/>
    <w:rsid w:val="009F7618"/>
    <w:rsid w:val="00A04D23"/>
    <w:rsid w:val="00A06766"/>
    <w:rsid w:val="00A13765"/>
    <w:rsid w:val="00A21B12"/>
    <w:rsid w:val="00A23F80"/>
    <w:rsid w:val="00A46E98"/>
    <w:rsid w:val="00A6352B"/>
    <w:rsid w:val="00A701B5"/>
    <w:rsid w:val="00A714BB"/>
    <w:rsid w:val="00A77147"/>
    <w:rsid w:val="00A92D8F"/>
    <w:rsid w:val="00AA16B0"/>
    <w:rsid w:val="00AB2988"/>
    <w:rsid w:val="00AB7999"/>
    <w:rsid w:val="00AD3292"/>
    <w:rsid w:val="00AD53D7"/>
    <w:rsid w:val="00AE1684"/>
    <w:rsid w:val="00AE7AF0"/>
    <w:rsid w:val="00AF2F50"/>
    <w:rsid w:val="00B16750"/>
    <w:rsid w:val="00B500CA"/>
    <w:rsid w:val="00B85BD0"/>
    <w:rsid w:val="00B86314"/>
    <w:rsid w:val="00BA1C2E"/>
    <w:rsid w:val="00BC200B"/>
    <w:rsid w:val="00BC4756"/>
    <w:rsid w:val="00BC69A4"/>
    <w:rsid w:val="00BE0680"/>
    <w:rsid w:val="00BE305F"/>
    <w:rsid w:val="00BE7BA3"/>
    <w:rsid w:val="00BF5682"/>
    <w:rsid w:val="00BF7B09"/>
    <w:rsid w:val="00C05260"/>
    <w:rsid w:val="00C076B9"/>
    <w:rsid w:val="00C20A95"/>
    <w:rsid w:val="00C2692F"/>
    <w:rsid w:val="00C3207C"/>
    <w:rsid w:val="00C400E1"/>
    <w:rsid w:val="00C41187"/>
    <w:rsid w:val="00C565E9"/>
    <w:rsid w:val="00C63C31"/>
    <w:rsid w:val="00C757A0"/>
    <w:rsid w:val="00C75867"/>
    <w:rsid w:val="00C760DE"/>
    <w:rsid w:val="00C82630"/>
    <w:rsid w:val="00C85B4E"/>
    <w:rsid w:val="00C907F7"/>
    <w:rsid w:val="00CA2103"/>
    <w:rsid w:val="00CB21E8"/>
    <w:rsid w:val="00CB6B99"/>
    <w:rsid w:val="00CD457B"/>
    <w:rsid w:val="00CE4C87"/>
    <w:rsid w:val="00CE544A"/>
    <w:rsid w:val="00D11E1C"/>
    <w:rsid w:val="00D160B0"/>
    <w:rsid w:val="00D17F94"/>
    <w:rsid w:val="00D223FC"/>
    <w:rsid w:val="00D26D1E"/>
    <w:rsid w:val="00D474CF"/>
    <w:rsid w:val="00D5547E"/>
    <w:rsid w:val="00D60848"/>
    <w:rsid w:val="00D860E2"/>
    <w:rsid w:val="00D869A1"/>
    <w:rsid w:val="00DA413F"/>
    <w:rsid w:val="00DA4584"/>
    <w:rsid w:val="00DA4FD6"/>
    <w:rsid w:val="00DA614B"/>
    <w:rsid w:val="00DB7AD7"/>
    <w:rsid w:val="00DC3060"/>
    <w:rsid w:val="00DD1A5F"/>
    <w:rsid w:val="00DE0FB2"/>
    <w:rsid w:val="00DF093E"/>
    <w:rsid w:val="00E01F42"/>
    <w:rsid w:val="00E10319"/>
    <w:rsid w:val="00E206D6"/>
    <w:rsid w:val="00E22CF8"/>
    <w:rsid w:val="00E27E60"/>
    <w:rsid w:val="00E3366E"/>
    <w:rsid w:val="00E52086"/>
    <w:rsid w:val="00E543A6"/>
    <w:rsid w:val="00E60479"/>
    <w:rsid w:val="00E61D73"/>
    <w:rsid w:val="00E73684"/>
    <w:rsid w:val="00E818D6"/>
    <w:rsid w:val="00E87F7A"/>
    <w:rsid w:val="00E94B3E"/>
    <w:rsid w:val="00E96BD7"/>
    <w:rsid w:val="00EA0DB1"/>
    <w:rsid w:val="00EA0EE9"/>
    <w:rsid w:val="00ED52CA"/>
    <w:rsid w:val="00ED5860"/>
    <w:rsid w:val="00EE35C9"/>
    <w:rsid w:val="00F05ECA"/>
    <w:rsid w:val="00F26E21"/>
    <w:rsid w:val="00F3566E"/>
    <w:rsid w:val="00F3708B"/>
    <w:rsid w:val="00F375FB"/>
    <w:rsid w:val="00F41AC1"/>
    <w:rsid w:val="00F4367A"/>
    <w:rsid w:val="00F445B1"/>
    <w:rsid w:val="00F45CD4"/>
    <w:rsid w:val="00F66DCA"/>
    <w:rsid w:val="00F74F53"/>
    <w:rsid w:val="00F7606D"/>
    <w:rsid w:val="00F81670"/>
    <w:rsid w:val="00F82024"/>
    <w:rsid w:val="00F865A3"/>
    <w:rsid w:val="00F95BC9"/>
    <w:rsid w:val="00FA624C"/>
    <w:rsid w:val="00FB3B71"/>
    <w:rsid w:val="00FC52C7"/>
    <w:rsid w:val="00FD0FAC"/>
    <w:rsid w:val="00FD1DFA"/>
    <w:rsid w:val="00FD4966"/>
    <w:rsid w:val="00FE57DC"/>
    <w:rsid w:val="00FF0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788E097"/>
  <w15:docId w15:val="{5B2BA3E5-8E0C-4EC8-9220-F637E85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B859-1359-4A59-AAB8-A2A5B8A5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creator>jmitchell</dc:creator>
  <cp:keywords>OxCityCouncil Report</cp:keywords>
  <cp:lastModifiedBy>MCCOLLUM Brenda</cp:lastModifiedBy>
  <cp:revision>2</cp:revision>
  <cp:lastPrinted>2015-07-03T13:50:00Z</cp:lastPrinted>
  <dcterms:created xsi:type="dcterms:W3CDTF">2024-10-29T14:13:00Z</dcterms:created>
  <dcterms:modified xsi:type="dcterms:W3CDTF">2024-10-29T14:13:00Z</dcterms:modified>
  <cp:category>Report to Council or Committee</cp:category>
</cp:coreProperties>
</file>