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80AA6" w14:textId="77777777" w:rsidR="00D5547E" w:rsidRPr="009E51FC" w:rsidRDefault="00D5547E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14:paraId="58551B18" w14:textId="77777777" w:rsidTr="005F7F7E">
        <w:tc>
          <w:tcPr>
            <w:tcW w:w="2438" w:type="dxa"/>
            <w:shd w:val="clear" w:color="auto" w:fill="auto"/>
          </w:tcPr>
          <w:p w14:paraId="1D8D3DE0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4E8B7D5C" w14:textId="77777777" w:rsidR="00F445B1" w:rsidRPr="00F95BC9" w:rsidRDefault="004711FC" w:rsidP="004A76C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Shareholder</w:t>
            </w:r>
            <w:r w:rsidR="004A76CE">
              <w:rPr>
                <w:rStyle w:val="Firstpagetablebold"/>
              </w:rPr>
              <w:t xml:space="preserve"> and Joint Venture Group</w:t>
            </w:r>
            <w:r>
              <w:rPr>
                <w:rStyle w:val="Firstpagetablebold"/>
              </w:rPr>
              <w:t xml:space="preserve"> </w:t>
            </w:r>
            <w:r w:rsidR="00475860">
              <w:rPr>
                <w:rStyle w:val="Firstpagetablebold"/>
              </w:rPr>
              <w:t>Meeting</w:t>
            </w:r>
          </w:p>
        </w:tc>
      </w:tr>
      <w:tr w:rsidR="00CE544A" w:rsidRPr="00975B07" w14:paraId="4DA9D90E" w14:textId="77777777" w:rsidTr="005F7F7E">
        <w:tc>
          <w:tcPr>
            <w:tcW w:w="2438" w:type="dxa"/>
            <w:shd w:val="clear" w:color="auto" w:fill="auto"/>
          </w:tcPr>
          <w:p w14:paraId="53FD5E67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14:paraId="3A1B8AD5" w14:textId="673063E8" w:rsidR="00F445B1" w:rsidRPr="001356F1" w:rsidRDefault="00F3772B" w:rsidP="0008540A">
            <w:pPr>
              <w:rPr>
                <w:b/>
              </w:rPr>
            </w:pPr>
            <w:r>
              <w:rPr>
                <w:rStyle w:val="Firstpagetablebold"/>
                <w:color w:val="auto"/>
              </w:rPr>
              <w:t>27</w:t>
            </w:r>
            <w:r w:rsidR="00276916">
              <w:rPr>
                <w:rStyle w:val="Firstpagetablebold"/>
                <w:color w:val="auto"/>
              </w:rPr>
              <w:t xml:space="preserve"> July 2021</w:t>
            </w:r>
          </w:p>
        </w:tc>
      </w:tr>
      <w:tr w:rsidR="00CE544A" w:rsidRPr="00975B07" w14:paraId="5AF3495F" w14:textId="77777777" w:rsidTr="005F7F7E">
        <w:tc>
          <w:tcPr>
            <w:tcW w:w="2438" w:type="dxa"/>
            <w:shd w:val="clear" w:color="auto" w:fill="auto"/>
          </w:tcPr>
          <w:p w14:paraId="07F8D976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70BB4281" w14:textId="77777777" w:rsidR="00F445B1" w:rsidRPr="001356F1" w:rsidRDefault="00577A9F" w:rsidP="0008540A">
            <w:pPr>
              <w:rPr>
                <w:rStyle w:val="Firstpagetablebold"/>
              </w:rPr>
            </w:pPr>
            <w:r>
              <w:rPr>
                <w:rStyle w:val="Firstpagetablebold"/>
                <w:color w:val="auto"/>
              </w:rPr>
              <w:t>Company Secretary of</w:t>
            </w:r>
            <w:r w:rsidR="0008540A">
              <w:rPr>
                <w:rStyle w:val="Firstpagetablebold"/>
                <w:color w:val="auto"/>
              </w:rPr>
              <w:t xml:space="preserve"> the </w:t>
            </w:r>
            <w:r w:rsidR="00412AF7" w:rsidRPr="00412AF7">
              <w:rPr>
                <w:rStyle w:val="Firstpagetablebold"/>
                <w:color w:val="auto"/>
              </w:rPr>
              <w:t xml:space="preserve">Housing </w:t>
            </w:r>
            <w:r w:rsidR="00361B58">
              <w:rPr>
                <w:rStyle w:val="Firstpagetablebold"/>
                <w:color w:val="auto"/>
              </w:rPr>
              <w:t xml:space="preserve">Group of </w:t>
            </w:r>
            <w:r w:rsidR="0008540A">
              <w:rPr>
                <w:rStyle w:val="Firstpagetablebold"/>
                <w:color w:val="auto"/>
              </w:rPr>
              <w:t>Companies</w:t>
            </w:r>
            <w:r w:rsidR="004A76CE">
              <w:rPr>
                <w:rStyle w:val="Firstpagetablebold"/>
                <w:color w:val="FF0000"/>
              </w:rPr>
              <w:t xml:space="preserve"> </w:t>
            </w:r>
          </w:p>
        </w:tc>
      </w:tr>
      <w:tr w:rsidR="00CE544A" w:rsidRPr="00975B07" w14:paraId="1D54A96A" w14:textId="77777777" w:rsidTr="005F7F7E">
        <w:tc>
          <w:tcPr>
            <w:tcW w:w="2438" w:type="dxa"/>
            <w:shd w:val="clear" w:color="auto" w:fill="auto"/>
          </w:tcPr>
          <w:p w14:paraId="42529AC0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14:paraId="76079E66" w14:textId="294DE7C5" w:rsidR="00F445B1" w:rsidRPr="001356F1" w:rsidRDefault="00276916" w:rsidP="003560D6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 xml:space="preserve">Appointment of </w:t>
            </w:r>
            <w:r w:rsidR="00F3772B">
              <w:rPr>
                <w:rStyle w:val="Firstpagetablebold"/>
              </w:rPr>
              <w:t xml:space="preserve">the </w:t>
            </w:r>
            <w:r>
              <w:rPr>
                <w:rStyle w:val="Firstpagetablebold"/>
              </w:rPr>
              <w:t>new Managing Director to the Boards of the three Housing Group companies</w:t>
            </w:r>
          </w:p>
        </w:tc>
      </w:tr>
    </w:tbl>
    <w:p w14:paraId="53F412CF" w14:textId="77777777" w:rsidR="004F20EF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012"/>
        <w:gridCol w:w="6407"/>
      </w:tblGrid>
      <w:tr w:rsidR="00D5547E" w14:paraId="0A2C31F8" w14:textId="77777777" w:rsidTr="0080749A"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14:paraId="55827E18" w14:textId="77777777"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14:paraId="44DB7C8D" w14:textId="77777777" w:rsidTr="0080749A"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5C85A300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14:paraId="0DCB21C7" w14:textId="2B1222E6" w:rsidR="00D5547E" w:rsidRPr="001356F1" w:rsidRDefault="00276916" w:rsidP="003560D6">
            <w:r>
              <w:t>To request the Shareholder and Joint Venture group to appoint the new Managing Director of the Oxford City Housing group to the Board of each of the three housing group companies</w:t>
            </w:r>
          </w:p>
        </w:tc>
      </w:tr>
      <w:tr w:rsidR="005F7F7E" w:rsidRPr="00975B07" w14:paraId="1EE055A0" w14:textId="77777777" w:rsidTr="00A46E98">
        <w:trPr>
          <w:trHeight w:val="413"/>
        </w:trPr>
        <w:tc>
          <w:tcPr>
            <w:tcW w:w="8845" w:type="dxa"/>
            <w:gridSpan w:val="3"/>
            <w:tcBorders>
              <w:bottom w:val="single" w:sz="8" w:space="0" w:color="000000"/>
            </w:tcBorders>
          </w:tcPr>
          <w:p w14:paraId="3345FBF9" w14:textId="3FC8BA49" w:rsidR="005F7F7E" w:rsidRPr="00975B07" w:rsidRDefault="00651073" w:rsidP="004A76CE">
            <w:r>
              <w:rPr>
                <w:rStyle w:val="Firstpagetablebold"/>
              </w:rPr>
              <w:t>Recommendations</w:t>
            </w:r>
            <w:r w:rsidR="005F7F7E">
              <w:rPr>
                <w:rStyle w:val="Firstpagetablebold"/>
              </w:rPr>
              <w:t>:</w:t>
            </w:r>
            <w:r>
              <w:rPr>
                <w:rStyle w:val="Firstpagetablebold"/>
              </w:rPr>
              <w:t xml:space="preserve"> </w:t>
            </w:r>
            <w:r w:rsidR="005F7F7E">
              <w:rPr>
                <w:rStyle w:val="Firstpagetablebold"/>
              </w:rPr>
              <w:t xml:space="preserve">That the </w:t>
            </w:r>
            <w:r w:rsidR="004711FC" w:rsidRPr="004A76CE">
              <w:rPr>
                <w:rStyle w:val="Firstpagetablebold"/>
                <w:color w:val="auto"/>
              </w:rPr>
              <w:t>Shareholder</w:t>
            </w:r>
            <w:r>
              <w:rPr>
                <w:rStyle w:val="Firstpagetablebold"/>
                <w:color w:val="auto"/>
              </w:rPr>
              <w:t xml:space="preserve"> </w:t>
            </w:r>
            <w:r w:rsidR="004A76CE" w:rsidRPr="004A76CE">
              <w:rPr>
                <w:rStyle w:val="Firstpagetablebold"/>
                <w:color w:val="auto"/>
              </w:rPr>
              <w:t xml:space="preserve">and Joint Venture Group </w:t>
            </w:r>
            <w:r w:rsidR="005F7F7E">
              <w:rPr>
                <w:rStyle w:val="Firstpagetablebold"/>
              </w:rPr>
              <w:t>resolves to:</w:t>
            </w:r>
          </w:p>
        </w:tc>
      </w:tr>
      <w:tr w:rsidR="0030208D" w:rsidRPr="00975B07" w14:paraId="3E5B0026" w14:textId="77777777" w:rsidTr="00A46E98"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306E6EC6" w14:textId="77777777" w:rsidR="006439FF" w:rsidRDefault="006439FF" w:rsidP="004A6D2F"/>
          <w:p w14:paraId="1F41B09F" w14:textId="77777777" w:rsidR="0030208D" w:rsidRPr="00975B07" w:rsidRDefault="00046D2B" w:rsidP="004A6D2F">
            <w:r w:rsidRPr="00975B07">
              <w:t>1.</w:t>
            </w:r>
          </w:p>
        </w:tc>
        <w:tc>
          <w:tcPr>
            <w:tcW w:w="841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79C8151" w14:textId="77777777" w:rsidR="006439FF" w:rsidRDefault="006439FF" w:rsidP="00D825EB">
            <w:pPr>
              <w:rPr>
                <w:color w:val="auto"/>
              </w:rPr>
            </w:pPr>
          </w:p>
          <w:p w14:paraId="362180E7" w14:textId="0E537DBF" w:rsidR="008407BE" w:rsidRPr="00C9520B" w:rsidRDefault="00276916" w:rsidP="00D825EB">
            <w:pPr>
              <w:rPr>
                <w:color w:val="auto"/>
              </w:rPr>
            </w:pPr>
            <w:r>
              <w:rPr>
                <w:color w:val="auto"/>
              </w:rPr>
              <w:t xml:space="preserve">Appoint Helen Horne, the newly appointed Managing Director of the Oxford City </w:t>
            </w:r>
            <w:r w:rsidR="00BF7606">
              <w:rPr>
                <w:color w:val="auto"/>
              </w:rPr>
              <w:t>Housing Group as a Board director</w:t>
            </w:r>
            <w:r>
              <w:rPr>
                <w:color w:val="auto"/>
              </w:rPr>
              <w:t xml:space="preserve"> of </w:t>
            </w:r>
            <w:r w:rsidR="00BF7606">
              <w:rPr>
                <w:color w:val="auto"/>
              </w:rPr>
              <w:t xml:space="preserve">each of </w:t>
            </w:r>
            <w:r>
              <w:rPr>
                <w:color w:val="auto"/>
              </w:rPr>
              <w:t>Oxford City Housing Limited (“OCHL”), Oxford City Housing (Development) Limited (“OCHDL”) and Oxford City Housing (Investment) Limited (“OCHIL”), such appointment to take effect as from 31</w:t>
            </w:r>
            <w:r w:rsidRPr="00276916">
              <w:rPr>
                <w:color w:val="auto"/>
                <w:vertAlign w:val="superscript"/>
              </w:rPr>
              <w:t>st</w:t>
            </w:r>
            <w:r>
              <w:rPr>
                <w:color w:val="auto"/>
              </w:rPr>
              <w:t xml:space="preserve"> August 2021, the date of commencement of her appointment as Managing Director.</w:t>
            </w:r>
          </w:p>
        </w:tc>
      </w:tr>
      <w:tr w:rsidR="00232F5B" w:rsidRPr="00975B07" w14:paraId="54E0EB7D" w14:textId="77777777" w:rsidTr="003719C0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1E5DB69" w14:textId="70CD8F58" w:rsidR="0030208D" w:rsidRPr="00975B07" w:rsidRDefault="0030208D" w:rsidP="004A6D2F"/>
        </w:tc>
        <w:tc>
          <w:tcPr>
            <w:tcW w:w="841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A1F1121" w14:textId="54C3799A" w:rsidR="006D7FAB" w:rsidRPr="00C9520B" w:rsidRDefault="006D7FAB" w:rsidP="00853923">
            <w:pPr>
              <w:rPr>
                <w:color w:val="auto"/>
              </w:rPr>
            </w:pPr>
          </w:p>
        </w:tc>
      </w:tr>
      <w:tr w:rsidR="00651073" w:rsidRPr="00975B07" w14:paraId="5DE4B7B7" w14:textId="77777777" w:rsidTr="00113174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AEA4107" w14:textId="6BF042FA" w:rsidR="00651073" w:rsidRDefault="00651073" w:rsidP="00113174"/>
        </w:tc>
        <w:tc>
          <w:tcPr>
            <w:tcW w:w="841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A8510DC" w14:textId="13C5EF06" w:rsidR="00651073" w:rsidRDefault="00651073" w:rsidP="00651073">
            <w:pPr>
              <w:rPr>
                <w:color w:val="auto"/>
              </w:rPr>
            </w:pPr>
          </w:p>
        </w:tc>
      </w:tr>
    </w:tbl>
    <w:p w14:paraId="53B705B5" w14:textId="1F7F10F7" w:rsidR="00CE544A" w:rsidRDefault="00CE544A" w:rsidP="004A6D2F"/>
    <w:p w14:paraId="3498CF7F" w14:textId="77777777" w:rsidR="00651073" w:rsidRPr="009E51FC" w:rsidRDefault="00651073" w:rsidP="004A6D2F"/>
    <w:p w14:paraId="4F9E5EF0" w14:textId="77777777" w:rsidR="00332638" w:rsidRPr="00FB7F38" w:rsidRDefault="00B577C0" w:rsidP="00651073">
      <w:pPr>
        <w:pStyle w:val="Heading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Introduction and background</w:t>
      </w:r>
    </w:p>
    <w:p w14:paraId="4B56FBAC" w14:textId="4A7BEF19" w:rsidR="0008540A" w:rsidRDefault="00361B58" w:rsidP="00651073">
      <w:pPr>
        <w:pStyle w:val="bParagraphtext"/>
        <w:rPr>
          <w:rFonts w:eastAsiaTheme="minorHAnsi"/>
        </w:rPr>
      </w:pPr>
      <w:r>
        <w:rPr>
          <w:rFonts w:eastAsiaTheme="minorHAnsi"/>
          <w:lang w:eastAsia="en-US"/>
        </w:rPr>
        <w:t>T</w:t>
      </w:r>
      <w:r w:rsidR="0008540A" w:rsidRPr="0008540A">
        <w:rPr>
          <w:rFonts w:eastAsiaTheme="minorHAnsi"/>
          <w:lang w:eastAsia="en-US"/>
        </w:rPr>
        <w:t xml:space="preserve">he appointment of Board </w:t>
      </w:r>
      <w:r w:rsidR="00D825EB">
        <w:rPr>
          <w:rFonts w:eastAsiaTheme="minorHAnsi"/>
          <w:lang w:eastAsia="en-US"/>
        </w:rPr>
        <w:t xml:space="preserve">Directors to the </w:t>
      </w:r>
      <w:r w:rsidR="00BF7606">
        <w:rPr>
          <w:rFonts w:eastAsiaTheme="minorHAnsi"/>
          <w:lang w:eastAsia="en-US"/>
        </w:rPr>
        <w:t xml:space="preserve">Oxford City </w:t>
      </w:r>
      <w:r w:rsidR="00D825EB">
        <w:rPr>
          <w:rFonts w:eastAsiaTheme="minorHAnsi"/>
          <w:lang w:eastAsia="en-US"/>
        </w:rPr>
        <w:t xml:space="preserve">Housing Group </w:t>
      </w:r>
      <w:r w:rsidR="0008540A" w:rsidRPr="0008540A">
        <w:rPr>
          <w:rFonts w:eastAsiaTheme="minorHAnsi"/>
          <w:lang w:eastAsia="en-US"/>
        </w:rPr>
        <w:t>is a matt</w:t>
      </w:r>
      <w:r w:rsidR="006439FF">
        <w:rPr>
          <w:rFonts w:eastAsiaTheme="minorHAnsi"/>
          <w:lang w:eastAsia="en-US"/>
        </w:rPr>
        <w:t>er reserved for the Shareholder under the Shareholder’s Agreement and the Company’s Articles.</w:t>
      </w:r>
    </w:p>
    <w:p w14:paraId="53A88457" w14:textId="77777777" w:rsidR="00EF4741" w:rsidRPr="00651073" w:rsidRDefault="00EF4741" w:rsidP="00EF4741">
      <w:pPr>
        <w:pStyle w:val="bParagraphtext"/>
        <w:numPr>
          <w:ilvl w:val="0"/>
          <w:numId w:val="0"/>
        </w:numPr>
        <w:ind w:left="360"/>
        <w:rPr>
          <w:rFonts w:eastAsiaTheme="minorHAnsi"/>
        </w:rPr>
      </w:pPr>
    </w:p>
    <w:p w14:paraId="660C2445" w14:textId="6BEC05BD" w:rsidR="00BF7606" w:rsidRPr="00EF4741" w:rsidRDefault="00BF7606" w:rsidP="004B7C4F">
      <w:pPr>
        <w:pStyle w:val="ListParagraph"/>
        <w:rPr>
          <w:rFonts w:eastAsiaTheme="minorHAnsi"/>
        </w:rPr>
      </w:pPr>
      <w:r w:rsidRPr="00EF4741">
        <w:rPr>
          <w:rFonts w:eastAsiaTheme="minorHAnsi"/>
          <w:lang w:eastAsia="en-US"/>
        </w:rPr>
        <w:t>In order that th</w:t>
      </w:r>
      <w:r w:rsidR="006439FF">
        <w:rPr>
          <w:rFonts w:eastAsiaTheme="minorHAnsi"/>
          <w:lang w:eastAsia="en-US"/>
        </w:rPr>
        <w:t>e Housing Group is possessed of</w:t>
      </w:r>
      <w:r w:rsidRPr="00EF4741">
        <w:rPr>
          <w:rFonts w:eastAsiaTheme="minorHAnsi"/>
          <w:lang w:eastAsia="en-US"/>
        </w:rPr>
        <w:t xml:space="preserve"> </w:t>
      </w:r>
      <w:r w:rsidR="0036059E" w:rsidRPr="00EF4741">
        <w:rPr>
          <w:rFonts w:eastAsiaTheme="minorHAnsi"/>
          <w:lang w:eastAsia="en-US"/>
        </w:rPr>
        <w:t>the operational</w:t>
      </w:r>
      <w:r w:rsidR="00774373" w:rsidRPr="00EF4741">
        <w:rPr>
          <w:rFonts w:eastAsiaTheme="minorHAnsi"/>
          <w:lang w:eastAsia="en-US"/>
        </w:rPr>
        <w:t xml:space="preserve"> and strategic </w:t>
      </w:r>
      <w:r w:rsidR="0036059E" w:rsidRPr="00EF4741">
        <w:rPr>
          <w:rFonts w:eastAsiaTheme="minorHAnsi"/>
          <w:lang w:eastAsia="en-US"/>
        </w:rPr>
        <w:t xml:space="preserve">strength, </w:t>
      </w:r>
      <w:r w:rsidR="00BD20B0" w:rsidRPr="00EF4741">
        <w:rPr>
          <w:rFonts w:eastAsiaTheme="minorHAnsi"/>
          <w:lang w:eastAsia="en-US"/>
        </w:rPr>
        <w:t xml:space="preserve">capacity </w:t>
      </w:r>
      <w:r w:rsidR="0036059E" w:rsidRPr="00EF4741">
        <w:rPr>
          <w:rFonts w:eastAsiaTheme="minorHAnsi"/>
          <w:lang w:eastAsia="en-US"/>
        </w:rPr>
        <w:t xml:space="preserve">and oversight </w:t>
      </w:r>
      <w:r w:rsidRPr="00EF4741">
        <w:rPr>
          <w:rFonts w:eastAsiaTheme="minorHAnsi"/>
          <w:lang w:eastAsia="en-US"/>
        </w:rPr>
        <w:t xml:space="preserve">required </w:t>
      </w:r>
      <w:r w:rsidR="00695C35" w:rsidRPr="00EF4741">
        <w:rPr>
          <w:rFonts w:eastAsiaTheme="minorHAnsi"/>
          <w:lang w:eastAsia="en-US"/>
        </w:rPr>
        <w:t>to</w:t>
      </w:r>
      <w:r w:rsidR="00BD20B0" w:rsidRPr="00EF4741">
        <w:rPr>
          <w:rFonts w:eastAsiaTheme="minorHAnsi"/>
          <w:lang w:eastAsia="en-US"/>
        </w:rPr>
        <w:t xml:space="preserve"> </w:t>
      </w:r>
      <w:r w:rsidR="00695C35" w:rsidRPr="00EF4741">
        <w:rPr>
          <w:rFonts w:eastAsiaTheme="minorHAnsi"/>
          <w:lang w:eastAsia="en-US"/>
        </w:rPr>
        <w:t>en</w:t>
      </w:r>
      <w:r w:rsidR="00BD20B0" w:rsidRPr="00EF4741">
        <w:rPr>
          <w:rFonts w:eastAsiaTheme="minorHAnsi"/>
          <w:lang w:eastAsia="en-US"/>
        </w:rPr>
        <w:t xml:space="preserve">able </w:t>
      </w:r>
      <w:r w:rsidR="00695C35" w:rsidRPr="00EF4741">
        <w:rPr>
          <w:rFonts w:eastAsiaTheme="minorHAnsi"/>
          <w:lang w:eastAsia="en-US"/>
        </w:rPr>
        <w:t xml:space="preserve">it </w:t>
      </w:r>
      <w:r w:rsidR="00BD20B0" w:rsidRPr="00EF4741">
        <w:rPr>
          <w:rFonts w:eastAsiaTheme="minorHAnsi"/>
          <w:lang w:eastAsia="en-US"/>
        </w:rPr>
        <w:t xml:space="preserve">to compete successfully in </w:t>
      </w:r>
      <w:r w:rsidR="0072769B" w:rsidRPr="00EF4741">
        <w:rPr>
          <w:rFonts w:eastAsiaTheme="minorHAnsi"/>
          <w:lang w:eastAsia="en-US"/>
        </w:rPr>
        <w:t>an</w:t>
      </w:r>
      <w:r w:rsidR="00BD20B0" w:rsidRPr="00EF4741">
        <w:rPr>
          <w:rFonts w:eastAsiaTheme="minorHAnsi"/>
          <w:lang w:eastAsia="en-US"/>
        </w:rPr>
        <w:t xml:space="preserve"> ever-evolving housing development market</w:t>
      </w:r>
      <w:r w:rsidR="007A3229" w:rsidRPr="00EF4741">
        <w:rPr>
          <w:rFonts w:eastAsiaTheme="minorHAnsi"/>
          <w:lang w:eastAsia="en-US"/>
        </w:rPr>
        <w:t xml:space="preserve"> in </w:t>
      </w:r>
      <w:r w:rsidR="0036059E" w:rsidRPr="00EF4741">
        <w:rPr>
          <w:rFonts w:eastAsiaTheme="minorHAnsi"/>
          <w:lang w:eastAsia="en-US"/>
        </w:rPr>
        <w:t xml:space="preserve">highly challenging </w:t>
      </w:r>
      <w:r w:rsidRPr="00EF4741">
        <w:rPr>
          <w:rFonts w:eastAsiaTheme="minorHAnsi"/>
          <w:lang w:eastAsia="en-US"/>
        </w:rPr>
        <w:t>times</w:t>
      </w:r>
      <w:r w:rsidR="006439FF">
        <w:rPr>
          <w:rFonts w:eastAsiaTheme="minorHAnsi"/>
          <w:lang w:eastAsia="en-US"/>
        </w:rPr>
        <w:t>,</w:t>
      </w:r>
      <w:r w:rsidRPr="00EF4741">
        <w:rPr>
          <w:rFonts w:eastAsiaTheme="minorHAnsi"/>
          <w:lang w:eastAsia="en-US"/>
        </w:rPr>
        <w:t xml:space="preserve"> a</w:t>
      </w:r>
      <w:r w:rsidRPr="00406EA7">
        <w:t>n appropriate re</w:t>
      </w:r>
      <w:r>
        <w:t>cruitment process was undertaken</w:t>
      </w:r>
      <w:r w:rsidRPr="00406EA7">
        <w:t xml:space="preserve"> t</w:t>
      </w:r>
      <w:r>
        <w:t>o seek to make a permanent appointment to the role of</w:t>
      </w:r>
      <w:r w:rsidRPr="00406EA7">
        <w:t xml:space="preserve"> Managing Director</w:t>
      </w:r>
      <w:r>
        <w:t xml:space="preserve">.  </w:t>
      </w:r>
      <w:r w:rsidRPr="00406EA7">
        <w:t xml:space="preserve">A member of the Shareholder and </w:t>
      </w:r>
      <w:r w:rsidRPr="00406EA7">
        <w:lastRenderedPageBreak/>
        <w:t xml:space="preserve">Joint Venture group formed part of the </w:t>
      </w:r>
      <w:r>
        <w:t>interview and selection process which when concluded</w:t>
      </w:r>
      <w:r w:rsidRPr="00406EA7">
        <w:t xml:space="preserve"> led to an offer of the post of</w:t>
      </w:r>
      <w:r>
        <w:t xml:space="preserve"> Managing Di</w:t>
      </w:r>
      <w:r w:rsidRPr="00406EA7">
        <w:t>rector being made</w:t>
      </w:r>
      <w:r>
        <w:t xml:space="preserve"> to Helen Horne, </w:t>
      </w:r>
      <w:r w:rsidRPr="00406EA7">
        <w:t>such offer then being accepted. The</w:t>
      </w:r>
      <w:r w:rsidR="003E1B5D">
        <w:t xml:space="preserve"> MD appointment was offered on a permanent basis.</w:t>
      </w:r>
    </w:p>
    <w:p w14:paraId="627ECDEE" w14:textId="77777777" w:rsidR="0040736F" w:rsidRPr="001356F1" w:rsidRDefault="002329CF" w:rsidP="00651073">
      <w:pPr>
        <w:pStyle w:val="Heading1"/>
      </w:pPr>
      <w:r w:rsidRPr="001356F1">
        <w:t>Financial implications</w:t>
      </w:r>
    </w:p>
    <w:p w14:paraId="1818238A" w14:textId="7FF944A1" w:rsidR="000C3625" w:rsidRPr="00651073" w:rsidRDefault="0008540A" w:rsidP="00651073">
      <w:pPr>
        <w:pStyle w:val="bParagraphtext"/>
      </w:pPr>
      <w:r>
        <w:t>There are financial implications for the Housing Group arising from this report</w:t>
      </w:r>
      <w:r w:rsidR="00EF4741">
        <w:t>, in that w</w:t>
      </w:r>
      <w:r w:rsidR="007A3229">
        <w:t>hile the Managing Director will</w:t>
      </w:r>
      <w:r w:rsidR="002349B8">
        <w:t xml:space="preserve">, technically, be an employee of the City Council, </w:t>
      </w:r>
      <w:r w:rsidR="00EF4741">
        <w:t xml:space="preserve">she will be seconded to the Housing Group and </w:t>
      </w:r>
      <w:r w:rsidR="002349B8">
        <w:t xml:space="preserve">all </w:t>
      </w:r>
      <w:r w:rsidR="00A90524">
        <w:t>employment costs incurred will</w:t>
      </w:r>
      <w:r w:rsidR="008407BE">
        <w:t xml:space="preserve"> be passed on to</w:t>
      </w:r>
      <w:r w:rsidR="002349B8">
        <w:t xml:space="preserve"> the Housing </w:t>
      </w:r>
      <w:r w:rsidR="002349B8" w:rsidRPr="00406EA7">
        <w:rPr>
          <w:color w:val="auto"/>
        </w:rPr>
        <w:t>Group</w:t>
      </w:r>
      <w:r w:rsidR="00853923">
        <w:t>.</w:t>
      </w:r>
      <w:r w:rsidR="002B364C" w:rsidRPr="00406EA7">
        <w:rPr>
          <w:color w:val="auto"/>
        </w:rPr>
        <w:t xml:space="preserve"> These costs are in line with the Approved Business Plan previously endorsed by the Shareholder.</w:t>
      </w:r>
    </w:p>
    <w:p w14:paraId="47438A03" w14:textId="77777777" w:rsidR="0040736F" w:rsidRPr="0008540A" w:rsidRDefault="00DA614B" w:rsidP="00651073">
      <w:pPr>
        <w:pStyle w:val="Heading1"/>
      </w:pPr>
      <w:r w:rsidRPr="0008540A">
        <w:t>Legal issues</w:t>
      </w:r>
    </w:p>
    <w:p w14:paraId="05127407" w14:textId="58A517CC" w:rsidR="00332638" w:rsidRDefault="00EF4741" w:rsidP="00651073">
      <w:pPr>
        <w:pStyle w:val="bParagraphtext"/>
        <w:rPr>
          <w:color w:val="auto"/>
        </w:rPr>
      </w:pPr>
      <w:r>
        <w:rPr>
          <w:color w:val="auto"/>
        </w:rPr>
        <w:t>With the appointment of Board directors being a matter reserved to the Shareholder</w:t>
      </w:r>
      <w:r w:rsidR="00B42D95">
        <w:rPr>
          <w:color w:val="auto"/>
        </w:rPr>
        <w:t xml:space="preserve">, no individual can act as a statutory director </w:t>
      </w:r>
      <w:r w:rsidR="003E1B5D">
        <w:rPr>
          <w:color w:val="auto"/>
        </w:rPr>
        <w:t xml:space="preserve">of OCHL, OCHDL or OCHIL </w:t>
      </w:r>
      <w:bookmarkStart w:id="0" w:name="_GoBack"/>
      <w:bookmarkEnd w:id="0"/>
      <w:r w:rsidR="006439FF">
        <w:rPr>
          <w:color w:val="auto"/>
        </w:rPr>
        <w:t xml:space="preserve">and be </w:t>
      </w:r>
      <w:r w:rsidR="00237C2B">
        <w:rPr>
          <w:color w:val="auto"/>
        </w:rPr>
        <w:t xml:space="preserve">recorded </w:t>
      </w:r>
      <w:r w:rsidR="006439FF">
        <w:rPr>
          <w:color w:val="auto"/>
        </w:rPr>
        <w:t xml:space="preserve">as such </w:t>
      </w:r>
      <w:r w:rsidR="00237C2B">
        <w:rPr>
          <w:color w:val="auto"/>
        </w:rPr>
        <w:t xml:space="preserve">at Companies House </w:t>
      </w:r>
      <w:r w:rsidR="00B42D95">
        <w:rPr>
          <w:color w:val="auto"/>
        </w:rPr>
        <w:t xml:space="preserve">without Shareholder consent.  </w:t>
      </w:r>
      <w:r w:rsidR="00237C2B">
        <w:rPr>
          <w:color w:val="auto"/>
        </w:rPr>
        <w:t>Under her contract of employment, t</w:t>
      </w:r>
      <w:r w:rsidR="008407BE">
        <w:rPr>
          <w:color w:val="auto"/>
        </w:rPr>
        <w:t>he Managing Director will, of course, hold particular</w:t>
      </w:r>
      <w:r w:rsidR="00A90524">
        <w:rPr>
          <w:color w:val="auto"/>
        </w:rPr>
        <w:t xml:space="preserve"> and direct</w:t>
      </w:r>
      <w:r w:rsidR="008407BE">
        <w:rPr>
          <w:color w:val="auto"/>
        </w:rPr>
        <w:t xml:space="preserve"> </w:t>
      </w:r>
      <w:r w:rsidR="006D7FAB">
        <w:rPr>
          <w:color w:val="auto"/>
        </w:rPr>
        <w:t xml:space="preserve">operational </w:t>
      </w:r>
      <w:r w:rsidR="008407BE">
        <w:rPr>
          <w:color w:val="auto"/>
        </w:rPr>
        <w:t>responsibilities in regard to the management and performance of the Housing Group.</w:t>
      </w:r>
    </w:p>
    <w:p w14:paraId="2FF9E957" w14:textId="77777777" w:rsidR="00940D19" w:rsidRPr="00651073" w:rsidRDefault="00940D19" w:rsidP="00651073">
      <w:pPr>
        <w:pStyle w:val="Heading1"/>
      </w:pPr>
      <w:r w:rsidRPr="00651073">
        <w:t>Level of risk</w:t>
      </w:r>
    </w:p>
    <w:p w14:paraId="4CA2A409" w14:textId="63EAC89C" w:rsidR="00940D19" w:rsidRPr="0008540A" w:rsidRDefault="00940D19" w:rsidP="00651073">
      <w:pPr>
        <w:pStyle w:val="bParagraphtext"/>
      </w:pPr>
      <w:r w:rsidRPr="00520356">
        <w:t xml:space="preserve">The </w:t>
      </w:r>
      <w:r w:rsidR="008407BE">
        <w:t xml:space="preserve">need for a dedicated Managing Director of the Housing Group is clear in a period when the three companies are </w:t>
      </w:r>
      <w:r w:rsidR="00520356">
        <w:t>i</w:t>
      </w:r>
      <w:r w:rsidR="008407BE">
        <w:t>ncreasing the volume of their</w:t>
      </w:r>
      <w:r w:rsidR="00E64684" w:rsidRPr="00520356">
        <w:t xml:space="preserve"> operations</w:t>
      </w:r>
      <w:r w:rsidR="00520356">
        <w:t xml:space="preserve">, </w:t>
      </w:r>
      <w:r w:rsidR="006D7FAB">
        <w:t>t</w:t>
      </w:r>
      <w:r w:rsidR="004E3A75">
        <w:t>he quantum</w:t>
      </w:r>
      <w:r w:rsidR="00406EA7">
        <w:t xml:space="preserve"> of their financial commitments</w:t>
      </w:r>
      <w:r w:rsidR="006D7FAB">
        <w:t xml:space="preserve">, </w:t>
      </w:r>
      <w:r w:rsidR="00520356">
        <w:t>and consequently the magnitude</w:t>
      </w:r>
      <w:r w:rsidR="00237C2B">
        <w:t xml:space="preserve"> of the companies’ risk</w:t>
      </w:r>
      <w:r w:rsidR="007A3229">
        <w:t xml:space="preserve"> in a period </w:t>
      </w:r>
      <w:r w:rsidR="004E3A75">
        <w:t>of</w:t>
      </w:r>
      <w:r w:rsidR="007A3229">
        <w:t xml:space="preserve"> economic </w:t>
      </w:r>
      <w:r w:rsidR="00237C2B">
        <w:t xml:space="preserve">and market </w:t>
      </w:r>
      <w:r w:rsidR="007A3229">
        <w:t>uncertainty.</w:t>
      </w:r>
      <w:r w:rsidRPr="00520356">
        <w:t xml:space="preserve"> </w:t>
      </w:r>
    </w:p>
    <w:p w14:paraId="167BD619" w14:textId="77777777" w:rsidR="002329CF" w:rsidRPr="001356F1" w:rsidRDefault="002329CF" w:rsidP="004A6D2F"/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14:paraId="79D8A7B2" w14:textId="77777777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7D134FB" w14:textId="77777777"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EA47FE" w14:textId="13BB4E28" w:rsidR="00E87F7A" w:rsidRPr="001356F1" w:rsidRDefault="00960BAD" w:rsidP="00A46E98">
            <w:r>
              <w:t>Lindsay Cane</w:t>
            </w:r>
            <w:r w:rsidR="00651073">
              <w:t xml:space="preserve"> (Company Secretary)</w:t>
            </w:r>
          </w:p>
        </w:tc>
      </w:tr>
      <w:tr w:rsidR="00DF093E" w:rsidRPr="001356F1" w14:paraId="597538BE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07A6625C" w14:textId="77777777"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5181F4B" w14:textId="6F2979D2" w:rsidR="00853923" w:rsidRPr="00D23ACE" w:rsidRDefault="00E87F7A" w:rsidP="00853923">
            <w:pPr>
              <w:rPr>
                <w:color w:val="FF0000"/>
              </w:rPr>
            </w:pPr>
            <w:r w:rsidRPr="00960BAD">
              <w:rPr>
                <w:color w:val="auto"/>
              </w:rPr>
              <w:t xml:space="preserve">01865 </w:t>
            </w:r>
            <w:r w:rsidR="00960BAD" w:rsidRPr="00960BAD">
              <w:rPr>
                <w:color w:val="auto"/>
              </w:rPr>
              <w:t>335499</w:t>
            </w:r>
            <w:r w:rsidR="00651073">
              <w:rPr>
                <w:color w:val="auto"/>
              </w:rPr>
              <w:t xml:space="preserve"> </w:t>
            </w:r>
          </w:p>
        </w:tc>
      </w:tr>
      <w:tr w:rsidR="005570B5" w:rsidRPr="001356F1" w14:paraId="5053C3CD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10EA938" w14:textId="77777777"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7E74CE" w14:textId="5932981A" w:rsidR="00960BAD" w:rsidRPr="00D23ACE" w:rsidRDefault="00853923" w:rsidP="00960BAD">
            <w:pPr>
              <w:rPr>
                <w:rStyle w:val="Hyperlink"/>
                <w:color w:val="FF0000"/>
              </w:rPr>
            </w:pPr>
            <w:r w:rsidRPr="00853923">
              <w:rPr>
                <w:rStyle w:val="Hyperlink"/>
                <w:color w:val="FF0000"/>
              </w:rPr>
              <w:t>lindsay.cane@oxfordds.co.uk</w:t>
            </w:r>
          </w:p>
        </w:tc>
      </w:tr>
    </w:tbl>
    <w:p w14:paraId="14A4E5BB" w14:textId="77777777" w:rsidR="004456DD" w:rsidRPr="009E51FC" w:rsidRDefault="004456DD" w:rsidP="00651073"/>
    <w:sectPr w:rsidR="004456DD" w:rsidRPr="009E51FC" w:rsidSect="00651073">
      <w:footerReference w:type="even" r:id="rId8"/>
      <w:headerReference w:type="first" r:id="rId9"/>
      <w:footerReference w:type="first" r:id="rId10"/>
      <w:pgSz w:w="11906" w:h="16838" w:code="9"/>
      <w:pgMar w:top="1304" w:right="1304" w:bottom="1304" w:left="1304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3EF1D" w14:textId="77777777" w:rsidR="009E640E" w:rsidRDefault="009E640E" w:rsidP="004A6D2F">
      <w:r>
        <w:separator/>
      </w:r>
    </w:p>
  </w:endnote>
  <w:endnote w:type="continuationSeparator" w:id="0">
    <w:p w14:paraId="2AD20985" w14:textId="77777777" w:rsidR="009E640E" w:rsidRDefault="009E640E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520F8" w14:textId="77777777" w:rsidR="00364FAD" w:rsidRDefault="00364FAD" w:rsidP="004A6D2F">
    <w:pPr>
      <w:pStyle w:val="Footer"/>
    </w:pPr>
    <w:r>
      <w:t>Do not use a footer or page numbers.</w:t>
    </w:r>
  </w:p>
  <w:p w14:paraId="2CBEB159" w14:textId="77777777" w:rsidR="00364FAD" w:rsidRDefault="00364FAD" w:rsidP="004A6D2F">
    <w:pPr>
      <w:pStyle w:val="Footer"/>
    </w:pPr>
  </w:p>
  <w:p w14:paraId="2AA66259" w14:textId="77777777"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00586" w14:textId="77777777"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72D47" w14:textId="77777777" w:rsidR="009E640E" w:rsidRDefault="009E640E" w:rsidP="004A6D2F">
      <w:r>
        <w:separator/>
      </w:r>
    </w:p>
  </w:footnote>
  <w:footnote w:type="continuationSeparator" w:id="0">
    <w:p w14:paraId="70B04988" w14:textId="77777777" w:rsidR="009E640E" w:rsidRDefault="009E640E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2331B" w14:textId="7EE58867" w:rsidR="008C283C" w:rsidRDefault="008C283C" w:rsidP="00651073">
    <w:pPr>
      <w:pStyle w:val="Header"/>
      <w:tabs>
        <w:tab w:val="clear" w:pos="4153"/>
        <w:tab w:val="clear" w:pos="8306"/>
        <w:tab w:val="right" w:pos="9214"/>
      </w:tabs>
      <w:rPr>
        <w:noProof/>
      </w:rPr>
    </w:pPr>
    <w:r>
      <w:rPr>
        <w:rFonts w:ascii="Microsoft Sans Serif" w:eastAsia="Gulim" w:hAnsi="Microsoft Sans Serif" w:cs="Microsoft Sans Serif"/>
        <w:b/>
        <w:noProof/>
        <w:color w:val="0000FF"/>
        <w:sz w:val="56"/>
        <w:szCs w:val="56"/>
      </w:rPr>
      <w:drawing>
        <wp:inline distT="0" distB="0" distL="0" distR="0" wp14:anchorId="01A7D096" wp14:editId="4C0C6204">
          <wp:extent cx="1296035" cy="596265"/>
          <wp:effectExtent l="0" t="0" r="0" b="0"/>
          <wp:docPr id="10" name="Picture 10" descr="OCHL Logo" title="OCH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51073">
      <w:rPr>
        <w:noProof/>
      </w:rPr>
      <w:tab/>
    </w:r>
    <w:r w:rsidR="00651073">
      <w:rPr>
        <w:noProof/>
      </w:rPr>
      <w:drawing>
        <wp:inline distT="0" distB="0" distL="0" distR="0" wp14:anchorId="6501D260" wp14:editId="6138F796">
          <wp:extent cx="944880" cy="1256030"/>
          <wp:effectExtent l="0" t="0" r="762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523B90" w14:textId="254453D2" w:rsidR="00D5547E" w:rsidRDefault="00D5547E" w:rsidP="008C283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9C05EF"/>
    <w:multiLevelType w:val="multilevel"/>
    <w:tmpl w:val="43D6D2FA"/>
    <w:numStyleLink w:val="StyleBulletedSymbolsymbolLeft063cmHanging063cm"/>
  </w:abstractNum>
  <w:abstractNum w:abstractNumId="13" w15:restartNumberingAfterBreak="0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B474D"/>
    <w:multiLevelType w:val="hybridMultilevel"/>
    <w:tmpl w:val="C30A12DC"/>
    <w:lvl w:ilvl="0" w:tplc="DACAF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2263A6A"/>
    <w:multiLevelType w:val="multilevel"/>
    <w:tmpl w:val="43D6D2FA"/>
    <w:numStyleLink w:val="StyleBulletedSymbolsymbolLeft063cmHanging063cm"/>
  </w:abstractNum>
  <w:abstractNum w:abstractNumId="19" w15:restartNumberingAfterBreak="0">
    <w:nsid w:val="272E54E4"/>
    <w:multiLevelType w:val="hybridMultilevel"/>
    <w:tmpl w:val="D7A2FFA0"/>
    <w:lvl w:ilvl="0" w:tplc="26561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8C69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C476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243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EEB0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BC9D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8210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5C72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3439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11FCD"/>
    <w:multiLevelType w:val="hybridMultilevel"/>
    <w:tmpl w:val="702CB4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BA5FD8"/>
    <w:multiLevelType w:val="multilevel"/>
    <w:tmpl w:val="43D6D2FA"/>
    <w:numStyleLink w:val="StyleBulletedSymbolsymbolLeft063cmHanging063cm"/>
  </w:abstractNum>
  <w:abstractNum w:abstractNumId="30" w15:restartNumberingAfterBreak="0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22831"/>
    <w:multiLevelType w:val="multilevel"/>
    <w:tmpl w:val="43D6D2FA"/>
    <w:numStyleLink w:val="StyleBulletedSymbolsymbolLeft063cmHanging063cm"/>
  </w:abstractNum>
  <w:abstractNum w:abstractNumId="32" w15:restartNumberingAfterBreak="0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8365C6"/>
    <w:multiLevelType w:val="multilevel"/>
    <w:tmpl w:val="E67CE66C"/>
    <w:numStyleLink w:val="StyleNumberedLeft0cmHanging075cm"/>
  </w:abstractNum>
  <w:abstractNum w:abstractNumId="36" w15:restartNumberingAfterBreak="0">
    <w:nsid w:val="7D211E9A"/>
    <w:multiLevelType w:val="hybridMultilevel"/>
    <w:tmpl w:val="725C8F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3"/>
  </w:num>
  <w:num w:numId="3">
    <w:abstractNumId w:val="25"/>
  </w:num>
  <w:num w:numId="4">
    <w:abstractNumId w:val="20"/>
  </w:num>
  <w:num w:numId="5">
    <w:abstractNumId w:val="30"/>
  </w:num>
  <w:num w:numId="6">
    <w:abstractNumId w:val="34"/>
  </w:num>
  <w:num w:numId="7">
    <w:abstractNumId w:val="24"/>
  </w:num>
  <w:num w:numId="8">
    <w:abstractNumId w:val="21"/>
  </w:num>
  <w:num w:numId="9">
    <w:abstractNumId w:val="13"/>
  </w:num>
  <w:num w:numId="10">
    <w:abstractNumId w:val="16"/>
  </w:num>
  <w:num w:numId="11">
    <w:abstractNumId w:val="27"/>
  </w:num>
  <w:num w:numId="12">
    <w:abstractNumId w:val="26"/>
  </w:num>
  <w:num w:numId="13">
    <w:abstractNumId w:val="10"/>
  </w:num>
  <w:num w:numId="14">
    <w:abstractNumId w:val="35"/>
    <w:lvlOverride w:ilvl="0">
      <w:lvl w:ilvl="0">
        <w:start w:val="1"/>
        <w:numFmt w:val="decimal"/>
        <w:pStyle w:val="ListParagraph"/>
        <w:lvlText w:val="%1."/>
        <w:lvlJc w:val="left"/>
        <w:pPr>
          <w:ind w:left="360" w:hanging="360"/>
        </w:pPr>
        <w:rPr>
          <w:rFonts w:ascii="Arial" w:hAnsi="Arial"/>
          <w:color w:val="000000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5">
    <w:abstractNumId w:val="17"/>
  </w:num>
  <w:num w:numId="16">
    <w:abstractNumId w:val="11"/>
  </w:num>
  <w:num w:numId="17">
    <w:abstractNumId w:val="29"/>
  </w:num>
  <w:num w:numId="18">
    <w:abstractNumId w:val="12"/>
  </w:num>
  <w:num w:numId="19">
    <w:abstractNumId w:val="31"/>
  </w:num>
  <w:num w:numId="20">
    <w:abstractNumId w:val="18"/>
  </w:num>
  <w:num w:numId="21">
    <w:abstractNumId w:val="23"/>
  </w:num>
  <w:num w:numId="22">
    <w:abstractNumId w:val="14"/>
  </w:num>
  <w:num w:numId="23">
    <w:abstractNumId w:val="32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5"/>
  </w:num>
  <w:num w:numId="35">
    <w:abstractNumId w:val="19"/>
  </w:num>
  <w:num w:numId="36">
    <w:abstractNumId w:val="35"/>
  </w:num>
  <w:num w:numId="37">
    <w:abstractNumId w:val="36"/>
  </w:num>
  <w:num w:numId="38">
    <w:abstractNumId w:val="35"/>
    <w:lvlOverride w:ilvl="0">
      <w:startOverride w:val="1"/>
      <w:lvl w:ilvl="0">
        <w:start w:val="1"/>
        <w:numFmt w:val="decimal"/>
        <w:pStyle w:val="ListParagraph"/>
        <w:lvlText w:val="%1."/>
        <w:lvlJc w:val="left"/>
        <w:pPr>
          <w:ind w:left="360" w:hanging="360"/>
        </w:pPr>
        <w:rPr>
          <w:rFonts w:ascii="Arial" w:hAnsi="Arial"/>
          <w:color w:val="000000"/>
          <w:sz w:val="24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9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29"/>
    <w:rsid w:val="000117D4"/>
    <w:rsid w:val="000120C6"/>
    <w:rsid w:val="000314D7"/>
    <w:rsid w:val="00045F8B"/>
    <w:rsid w:val="00046D2B"/>
    <w:rsid w:val="00056263"/>
    <w:rsid w:val="00064D8A"/>
    <w:rsid w:val="00064F82"/>
    <w:rsid w:val="00066510"/>
    <w:rsid w:val="00077523"/>
    <w:rsid w:val="0008540A"/>
    <w:rsid w:val="000B08EF"/>
    <w:rsid w:val="000B10B5"/>
    <w:rsid w:val="000C089F"/>
    <w:rsid w:val="000C3625"/>
    <w:rsid w:val="000C3928"/>
    <w:rsid w:val="000C5E8E"/>
    <w:rsid w:val="000F4751"/>
    <w:rsid w:val="0010524C"/>
    <w:rsid w:val="00111FB1"/>
    <w:rsid w:val="00113418"/>
    <w:rsid w:val="001356F1"/>
    <w:rsid w:val="00136994"/>
    <w:rsid w:val="0014128E"/>
    <w:rsid w:val="00151888"/>
    <w:rsid w:val="00170A2D"/>
    <w:rsid w:val="001808BC"/>
    <w:rsid w:val="001824C0"/>
    <w:rsid w:val="00182B81"/>
    <w:rsid w:val="0018619D"/>
    <w:rsid w:val="00193F45"/>
    <w:rsid w:val="001A011E"/>
    <w:rsid w:val="001A066A"/>
    <w:rsid w:val="001A13E6"/>
    <w:rsid w:val="001A5731"/>
    <w:rsid w:val="001A7489"/>
    <w:rsid w:val="001B42C3"/>
    <w:rsid w:val="001C5D5E"/>
    <w:rsid w:val="001C7F88"/>
    <w:rsid w:val="001D251F"/>
    <w:rsid w:val="001D678D"/>
    <w:rsid w:val="001E03F8"/>
    <w:rsid w:val="001E1678"/>
    <w:rsid w:val="001E3376"/>
    <w:rsid w:val="001F5028"/>
    <w:rsid w:val="002069B3"/>
    <w:rsid w:val="002329CF"/>
    <w:rsid w:val="00232F5B"/>
    <w:rsid w:val="002349B8"/>
    <w:rsid w:val="00237C2B"/>
    <w:rsid w:val="00245154"/>
    <w:rsid w:val="00247C29"/>
    <w:rsid w:val="00260467"/>
    <w:rsid w:val="00263EA3"/>
    <w:rsid w:val="00276916"/>
    <w:rsid w:val="00281198"/>
    <w:rsid w:val="00284F85"/>
    <w:rsid w:val="00290915"/>
    <w:rsid w:val="002A22E2"/>
    <w:rsid w:val="002B364C"/>
    <w:rsid w:val="002C64F7"/>
    <w:rsid w:val="002F41F2"/>
    <w:rsid w:val="00301BF3"/>
    <w:rsid w:val="0030208D"/>
    <w:rsid w:val="00323418"/>
    <w:rsid w:val="00332638"/>
    <w:rsid w:val="003357BF"/>
    <w:rsid w:val="003560D6"/>
    <w:rsid w:val="0036059E"/>
    <w:rsid w:val="00361B58"/>
    <w:rsid w:val="00364FAD"/>
    <w:rsid w:val="0036738F"/>
    <w:rsid w:val="0036759C"/>
    <w:rsid w:val="00367AE5"/>
    <w:rsid w:val="00367D71"/>
    <w:rsid w:val="003719C0"/>
    <w:rsid w:val="0038150A"/>
    <w:rsid w:val="00387E97"/>
    <w:rsid w:val="003B6E75"/>
    <w:rsid w:val="003B7DA1"/>
    <w:rsid w:val="003D0379"/>
    <w:rsid w:val="003D2574"/>
    <w:rsid w:val="003D4C59"/>
    <w:rsid w:val="003E1B5D"/>
    <w:rsid w:val="003F4267"/>
    <w:rsid w:val="00404032"/>
    <w:rsid w:val="00406EA7"/>
    <w:rsid w:val="0040736F"/>
    <w:rsid w:val="00412AF7"/>
    <w:rsid w:val="00412C1F"/>
    <w:rsid w:val="00421CB2"/>
    <w:rsid w:val="004268B9"/>
    <w:rsid w:val="00433B96"/>
    <w:rsid w:val="00441A02"/>
    <w:rsid w:val="004440F1"/>
    <w:rsid w:val="004456DD"/>
    <w:rsid w:val="00446CDF"/>
    <w:rsid w:val="004521B7"/>
    <w:rsid w:val="00457384"/>
    <w:rsid w:val="00462AB5"/>
    <w:rsid w:val="0046587E"/>
    <w:rsid w:val="00465EAF"/>
    <w:rsid w:val="004711FC"/>
    <w:rsid w:val="004738C5"/>
    <w:rsid w:val="00475860"/>
    <w:rsid w:val="004771FF"/>
    <w:rsid w:val="00484329"/>
    <w:rsid w:val="00491046"/>
    <w:rsid w:val="004A2AC7"/>
    <w:rsid w:val="004A3C26"/>
    <w:rsid w:val="004A6D2F"/>
    <w:rsid w:val="004A76CE"/>
    <w:rsid w:val="004C2887"/>
    <w:rsid w:val="004D2626"/>
    <w:rsid w:val="004D6E26"/>
    <w:rsid w:val="004D77D3"/>
    <w:rsid w:val="004E2959"/>
    <w:rsid w:val="004E3A75"/>
    <w:rsid w:val="004F20EF"/>
    <w:rsid w:val="004F215D"/>
    <w:rsid w:val="0050321C"/>
    <w:rsid w:val="00517EA9"/>
    <w:rsid w:val="00520356"/>
    <w:rsid w:val="00525B27"/>
    <w:rsid w:val="0054712D"/>
    <w:rsid w:val="00547EF6"/>
    <w:rsid w:val="005570B5"/>
    <w:rsid w:val="00567E18"/>
    <w:rsid w:val="00571469"/>
    <w:rsid w:val="00575F5F"/>
    <w:rsid w:val="00577A9F"/>
    <w:rsid w:val="00581805"/>
    <w:rsid w:val="00585F76"/>
    <w:rsid w:val="005A34E4"/>
    <w:rsid w:val="005B17F2"/>
    <w:rsid w:val="005B7FB0"/>
    <w:rsid w:val="005C35A5"/>
    <w:rsid w:val="005C577C"/>
    <w:rsid w:val="005D0621"/>
    <w:rsid w:val="005D1E27"/>
    <w:rsid w:val="005D2A3E"/>
    <w:rsid w:val="005E0226"/>
    <w:rsid w:val="005E022E"/>
    <w:rsid w:val="005E5215"/>
    <w:rsid w:val="005F7F7E"/>
    <w:rsid w:val="00606526"/>
    <w:rsid w:val="00614693"/>
    <w:rsid w:val="00623C2F"/>
    <w:rsid w:val="00633578"/>
    <w:rsid w:val="00637068"/>
    <w:rsid w:val="006439FF"/>
    <w:rsid w:val="00650811"/>
    <w:rsid w:val="00651073"/>
    <w:rsid w:val="00661D3E"/>
    <w:rsid w:val="0068013B"/>
    <w:rsid w:val="006819DE"/>
    <w:rsid w:val="00692627"/>
    <w:rsid w:val="00695C35"/>
    <w:rsid w:val="006969E7"/>
    <w:rsid w:val="006A3643"/>
    <w:rsid w:val="006C2A29"/>
    <w:rsid w:val="006C64CF"/>
    <w:rsid w:val="006D17B1"/>
    <w:rsid w:val="006D4752"/>
    <w:rsid w:val="006D708A"/>
    <w:rsid w:val="006D7FAB"/>
    <w:rsid w:val="006E14C1"/>
    <w:rsid w:val="006F0292"/>
    <w:rsid w:val="006F27FA"/>
    <w:rsid w:val="006F416B"/>
    <w:rsid w:val="006F519B"/>
    <w:rsid w:val="00713675"/>
    <w:rsid w:val="00715823"/>
    <w:rsid w:val="00725236"/>
    <w:rsid w:val="0072769B"/>
    <w:rsid w:val="00735965"/>
    <w:rsid w:val="00737B93"/>
    <w:rsid w:val="0074364B"/>
    <w:rsid w:val="00745BF0"/>
    <w:rsid w:val="007602FB"/>
    <w:rsid w:val="007615FE"/>
    <w:rsid w:val="0076655C"/>
    <w:rsid w:val="00773786"/>
    <w:rsid w:val="007742DC"/>
    <w:rsid w:val="00774373"/>
    <w:rsid w:val="00791437"/>
    <w:rsid w:val="007A2C12"/>
    <w:rsid w:val="007A3229"/>
    <w:rsid w:val="007A6214"/>
    <w:rsid w:val="007B0544"/>
    <w:rsid w:val="007B0C2C"/>
    <w:rsid w:val="007B278E"/>
    <w:rsid w:val="007C5C23"/>
    <w:rsid w:val="007E2A26"/>
    <w:rsid w:val="007F1E43"/>
    <w:rsid w:val="007F2348"/>
    <w:rsid w:val="00802205"/>
    <w:rsid w:val="00803F07"/>
    <w:rsid w:val="0080749A"/>
    <w:rsid w:val="00811748"/>
    <w:rsid w:val="00821FB8"/>
    <w:rsid w:val="00822ACD"/>
    <w:rsid w:val="008407BE"/>
    <w:rsid w:val="00843348"/>
    <w:rsid w:val="008476AE"/>
    <w:rsid w:val="00853923"/>
    <w:rsid w:val="00855C66"/>
    <w:rsid w:val="0087123C"/>
    <w:rsid w:val="00871EE4"/>
    <w:rsid w:val="008800C1"/>
    <w:rsid w:val="00882C5C"/>
    <w:rsid w:val="008A2139"/>
    <w:rsid w:val="008A2EB5"/>
    <w:rsid w:val="008B0626"/>
    <w:rsid w:val="008B293F"/>
    <w:rsid w:val="008B7371"/>
    <w:rsid w:val="008C283C"/>
    <w:rsid w:val="008D3DDB"/>
    <w:rsid w:val="008F0F70"/>
    <w:rsid w:val="008F573F"/>
    <w:rsid w:val="009000F1"/>
    <w:rsid w:val="009034EC"/>
    <w:rsid w:val="0093067A"/>
    <w:rsid w:val="00940D19"/>
    <w:rsid w:val="00941C60"/>
    <w:rsid w:val="00941FD1"/>
    <w:rsid w:val="009560EC"/>
    <w:rsid w:val="00960BAD"/>
    <w:rsid w:val="00966D42"/>
    <w:rsid w:val="009709EA"/>
    <w:rsid w:val="00971689"/>
    <w:rsid w:val="00973E90"/>
    <w:rsid w:val="00975B07"/>
    <w:rsid w:val="00980B4A"/>
    <w:rsid w:val="0098784B"/>
    <w:rsid w:val="00996A63"/>
    <w:rsid w:val="009D3678"/>
    <w:rsid w:val="009E3666"/>
    <w:rsid w:val="009E3D0A"/>
    <w:rsid w:val="009E51FC"/>
    <w:rsid w:val="009E640E"/>
    <w:rsid w:val="009F1D28"/>
    <w:rsid w:val="009F7618"/>
    <w:rsid w:val="00A04D23"/>
    <w:rsid w:val="00A06766"/>
    <w:rsid w:val="00A13765"/>
    <w:rsid w:val="00A21B12"/>
    <w:rsid w:val="00A23F80"/>
    <w:rsid w:val="00A44227"/>
    <w:rsid w:val="00A46E98"/>
    <w:rsid w:val="00A6352B"/>
    <w:rsid w:val="00A701B5"/>
    <w:rsid w:val="00A714BB"/>
    <w:rsid w:val="00A71582"/>
    <w:rsid w:val="00A77147"/>
    <w:rsid w:val="00A90524"/>
    <w:rsid w:val="00A92D8F"/>
    <w:rsid w:val="00A942D5"/>
    <w:rsid w:val="00A955E7"/>
    <w:rsid w:val="00AA2B2D"/>
    <w:rsid w:val="00AB2988"/>
    <w:rsid w:val="00AB7999"/>
    <w:rsid w:val="00AD3292"/>
    <w:rsid w:val="00AE7AF0"/>
    <w:rsid w:val="00B35B43"/>
    <w:rsid w:val="00B42D95"/>
    <w:rsid w:val="00B500CA"/>
    <w:rsid w:val="00B577C0"/>
    <w:rsid w:val="00B67071"/>
    <w:rsid w:val="00B8591B"/>
    <w:rsid w:val="00B85F16"/>
    <w:rsid w:val="00B86314"/>
    <w:rsid w:val="00BA1C2E"/>
    <w:rsid w:val="00BC200B"/>
    <w:rsid w:val="00BC4756"/>
    <w:rsid w:val="00BC69A4"/>
    <w:rsid w:val="00BD20B0"/>
    <w:rsid w:val="00BE0680"/>
    <w:rsid w:val="00BE06FC"/>
    <w:rsid w:val="00BE305F"/>
    <w:rsid w:val="00BE7BA3"/>
    <w:rsid w:val="00BF5682"/>
    <w:rsid w:val="00BF7606"/>
    <w:rsid w:val="00BF7B09"/>
    <w:rsid w:val="00C20A95"/>
    <w:rsid w:val="00C230E0"/>
    <w:rsid w:val="00C2692F"/>
    <w:rsid w:val="00C3207C"/>
    <w:rsid w:val="00C400E1"/>
    <w:rsid w:val="00C4113D"/>
    <w:rsid w:val="00C41187"/>
    <w:rsid w:val="00C44E44"/>
    <w:rsid w:val="00C55241"/>
    <w:rsid w:val="00C63C31"/>
    <w:rsid w:val="00C757A0"/>
    <w:rsid w:val="00C760DE"/>
    <w:rsid w:val="00C82630"/>
    <w:rsid w:val="00C85B4E"/>
    <w:rsid w:val="00C907F7"/>
    <w:rsid w:val="00C9520B"/>
    <w:rsid w:val="00C977F9"/>
    <w:rsid w:val="00CA2103"/>
    <w:rsid w:val="00CA3340"/>
    <w:rsid w:val="00CB6B99"/>
    <w:rsid w:val="00CE4C87"/>
    <w:rsid w:val="00CE544A"/>
    <w:rsid w:val="00D11E1C"/>
    <w:rsid w:val="00D160B0"/>
    <w:rsid w:val="00D17F94"/>
    <w:rsid w:val="00D223FC"/>
    <w:rsid w:val="00D23ACE"/>
    <w:rsid w:val="00D242B6"/>
    <w:rsid w:val="00D26D1E"/>
    <w:rsid w:val="00D474CF"/>
    <w:rsid w:val="00D5547E"/>
    <w:rsid w:val="00D6708D"/>
    <w:rsid w:val="00D825EB"/>
    <w:rsid w:val="00D869A1"/>
    <w:rsid w:val="00DA413F"/>
    <w:rsid w:val="00DA4584"/>
    <w:rsid w:val="00DA614B"/>
    <w:rsid w:val="00DC3060"/>
    <w:rsid w:val="00DC4D0F"/>
    <w:rsid w:val="00DE0FB2"/>
    <w:rsid w:val="00DF093E"/>
    <w:rsid w:val="00E01F42"/>
    <w:rsid w:val="00E10F52"/>
    <w:rsid w:val="00E206D6"/>
    <w:rsid w:val="00E3366E"/>
    <w:rsid w:val="00E52086"/>
    <w:rsid w:val="00E543A6"/>
    <w:rsid w:val="00E574CA"/>
    <w:rsid w:val="00E60479"/>
    <w:rsid w:val="00E61D73"/>
    <w:rsid w:val="00E64684"/>
    <w:rsid w:val="00E664B4"/>
    <w:rsid w:val="00E73684"/>
    <w:rsid w:val="00E74562"/>
    <w:rsid w:val="00E818D6"/>
    <w:rsid w:val="00E87544"/>
    <w:rsid w:val="00E87F7A"/>
    <w:rsid w:val="00E96BD7"/>
    <w:rsid w:val="00EA0DB1"/>
    <w:rsid w:val="00EA0EE9"/>
    <w:rsid w:val="00ED52CA"/>
    <w:rsid w:val="00ED5860"/>
    <w:rsid w:val="00EE35C9"/>
    <w:rsid w:val="00EF4741"/>
    <w:rsid w:val="00F050AF"/>
    <w:rsid w:val="00F05ECA"/>
    <w:rsid w:val="00F3566E"/>
    <w:rsid w:val="00F375FB"/>
    <w:rsid w:val="00F3772B"/>
    <w:rsid w:val="00F40D23"/>
    <w:rsid w:val="00F41AC1"/>
    <w:rsid w:val="00F4367A"/>
    <w:rsid w:val="00F445B1"/>
    <w:rsid w:val="00F45CD4"/>
    <w:rsid w:val="00F66DCA"/>
    <w:rsid w:val="00F7451A"/>
    <w:rsid w:val="00F74F53"/>
    <w:rsid w:val="00F7606D"/>
    <w:rsid w:val="00F81670"/>
    <w:rsid w:val="00F82024"/>
    <w:rsid w:val="00F95BC9"/>
    <w:rsid w:val="00FA624C"/>
    <w:rsid w:val="00FB3FDD"/>
    <w:rsid w:val="00FD0FAC"/>
    <w:rsid w:val="00FD1DFA"/>
    <w:rsid w:val="00FD4966"/>
    <w:rsid w:val="00FE57D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80EEDAF"/>
  <w15:docId w15:val="{7DA94DBD-710C-489B-A238-66D27453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332638"/>
    <w:rPr>
      <w:rFonts w:eastAsiaTheme="minorHAnsi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19F3-0CAE-49B8-9249-330CC920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B621CC65</Template>
  <TotalTime>7</TotalTime>
  <Pages>2</Pages>
  <Words>477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cphythian</dc:creator>
  <cp:lastModifiedBy>Lindsay D CANE</cp:lastModifiedBy>
  <cp:revision>4</cp:revision>
  <cp:lastPrinted>2015-07-03T13:50:00Z</cp:lastPrinted>
  <dcterms:created xsi:type="dcterms:W3CDTF">2021-07-13T15:51:00Z</dcterms:created>
  <dcterms:modified xsi:type="dcterms:W3CDTF">2021-07-13T16:22:00Z</dcterms:modified>
</cp:coreProperties>
</file>