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8297C" w:rsidP="00E8297C">
            <w:pPr>
              <w:rPr>
                <w:b/>
              </w:rPr>
            </w:pPr>
            <w:r>
              <w:rPr>
                <w:rStyle w:val="Firstpagetablebold"/>
              </w:rPr>
              <w:t>14 October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8D1B88">
            <w:pPr>
              <w:rPr>
                <w:rStyle w:val="Firstpagetablebold"/>
              </w:rPr>
            </w:pPr>
            <w:r w:rsidRPr="001356F1">
              <w:rPr>
                <w:rStyle w:val="Firstpagetablebold"/>
              </w:rPr>
              <w:t xml:space="preserve">Head of </w:t>
            </w:r>
            <w:r w:rsidR="008D1B88">
              <w:rPr>
                <w:rStyle w:val="Firstpagetablebold"/>
              </w:rPr>
              <w:t xml:space="preserve">Planning </w:t>
            </w:r>
            <w:r w:rsidR="00572BAB">
              <w:rPr>
                <w:rStyle w:val="Firstpagetablebold"/>
              </w:rPr>
              <w:t>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572BAB" w:rsidP="00C677B4">
            <w:pPr>
              <w:rPr>
                <w:rStyle w:val="Firstpagetablebold"/>
              </w:rPr>
            </w:pPr>
            <w:r>
              <w:rPr>
                <w:rStyle w:val="Firstpagetablebold"/>
              </w:rPr>
              <w:t xml:space="preserve">Oxford City Council’s response to the White Paper Planning </w:t>
            </w:r>
            <w:r w:rsidR="00C677B4">
              <w:rPr>
                <w:rStyle w:val="Firstpagetablebold"/>
              </w:rPr>
              <w:t>for the Future White Paper August 2020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115997" w:rsidP="002D0A54">
            <w:r>
              <w:t>Cabinet</w:t>
            </w:r>
            <w:r w:rsidR="00572BAB">
              <w:t xml:space="preserve"> is requested to </w:t>
            </w:r>
            <w:r w:rsidR="002D0A54">
              <w:t>note</w:t>
            </w:r>
            <w:r w:rsidR="00572BAB">
              <w:t xml:space="preserve"> the response on the White Paper Planning</w:t>
            </w:r>
            <w:r w:rsidR="00C677B4">
              <w:t xml:space="preserve"> for the Future</w:t>
            </w:r>
            <w:r w:rsidR="00572BAB">
              <w:t xml:space="preserve">  to be submitted to MHCLG</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A2380B" w:rsidP="00572BAB">
            <w:r>
              <w:t>No</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572BAB">
            <w:r w:rsidRPr="001356F1">
              <w:t xml:space="preserve">Councillor </w:t>
            </w:r>
            <w:r w:rsidR="00572BAB">
              <w:t>Alex Hollingsworth, Cabinet Member for Planning</w:t>
            </w:r>
            <w:r w:rsidR="006E4849">
              <w:t xml:space="preserve"> &amp; Housing Delivery</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572BAB" w:rsidP="005F7F7E">
            <w:r w:rsidRPr="00515C37">
              <w:t>A Vibrant and Sustainable Economy; Meeting Housing Needs; Strong and Active Communities; A Clean and Green 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A2380B" w:rsidP="00572BAB">
            <w:r>
              <w:t>Council Strategy 2020-24</w:t>
            </w:r>
          </w:p>
        </w:tc>
      </w:tr>
      <w:tr w:rsidR="005F7F7E" w:rsidRPr="00975B07" w:rsidTr="00A46E98">
        <w:trPr>
          <w:trHeight w:val="413"/>
        </w:trPr>
        <w:tc>
          <w:tcPr>
            <w:tcW w:w="8845" w:type="dxa"/>
            <w:gridSpan w:val="3"/>
            <w:tcBorders>
              <w:bottom w:val="single" w:sz="8" w:space="0" w:color="000000"/>
            </w:tcBorders>
          </w:tcPr>
          <w:p w:rsidR="005F7F7E" w:rsidRPr="00975B07" w:rsidRDefault="00A84C9D" w:rsidP="00DB7AD7">
            <w:proofErr w:type="spellStart"/>
            <w:r>
              <w:rPr>
                <w:rStyle w:val="Firstpagetablebold"/>
              </w:rPr>
              <w:t>Recommendation</w:t>
            </w:r>
            <w:r w:rsidR="005F7F7E">
              <w:rPr>
                <w:rStyle w:val="Firstpagetablebold"/>
              </w:rPr>
              <w:t>:</w:t>
            </w:r>
            <w:r w:rsidR="005F7F7E" w:rsidRPr="006E4849">
              <w:rPr>
                <w:rStyle w:val="Firstpagetablebold"/>
                <w:b w:val="0"/>
              </w:rPr>
              <w:t>That</w:t>
            </w:r>
            <w:proofErr w:type="spellEnd"/>
            <w:r w:rsidR="005F7F7E" w:rsidRPr="006E4849">
              <w:rPr>
                <w:rStyle w:val="Firstpagetablebold"/>
                <w:b w:val="0"/>
              </w:rPr>
              <w:t xml:space="preserve"> </w:t>
            </w:r>
            <w:r w:rsidR="00DB7AD7" w:rsidRPr="006E4849">
              <w:rPr>
                <w:rStyle w:val="Firstpagetablebold"/>
                <w:b w:val="0"/>
              </w:rPr>
              <w:t>Cabinet</w:t>
            </w:r>
            <w:r w:rsidR="005F7F7E" w:rsidRPr="006E4849">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572BAB" w:rsidRDefault="00A84C9D" w:rsidP="007F7896">
            <w:bookmarkStart w:id="0" w:name="_GoBack"/>
            <w:r>
              <w:rPr>
                <w:rStyle w:val="Firstpagetablebold"/>
              </w:rPr>
              <w:t>N</w:t>
            </w:r>
            <w:r w:rsidR="00084BDA">
              <w:rPr>
                <w:rStyle w:val="Firstpagetablebold"/>
              </w:rPr>
              <w:t>ote</w:t>
            </w:r>
            <w:r w:rsidR="007F7896">
              <w:rPr>
                <w:rStyle w:val="Firstpagetablebold"/>
                <w:b w:val="0"/>
              </w:rPr>
              <w:t xml:space="preserve"> </w:t>
            </w:r>
            <w:r w:rsidR="00572BAB">
              <w:rPr>
                <w:rStyle w:val="Firstpagetablebold"/>
                <w:b w:val="0"/>
              </w:rPr>
              <w:t>the response on the White Paper</w:t>
            </w:r>
            <w:r w:rsidR="00C677B4">
              <w:rPr>
                <w:rStyle w:val="Firstpagetablebold"/>
                <w:b w:val="0"/>
              </w:rPr>
              <w:t xml:space="preserve"> to be submitted to MHCLG.</w:t>
            </w:r>
            <w:bookmarkEnd w:id="0"/>
          </w:p>
        </w:tc>
      </w:tr>
      <w:tr w:rsidR="00232F5B" w:rsidRPr="00975B07" w:rsidTr="00C677B4">
        <w:trPr>
          <w:trHeight w:val="70"/>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2380B">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2D0A54" w:rsidP="002D0A54">
            <w:r>
              <w:t>Officer response to</w:t>
            </w:r>
            <w:r w:rsidR="00C677B4">
              <w:t xml:space="preserve"> the White Paper</w:t>
            </w:r>
          </w:p>
        </w:tc>
      </w:tr>
      <w:tr w:rsidR="0030208D" w:rsidRPr="00975B07" w:rsidTr="00A2380B">
        <w:tc>
          <w:tcPr>
            <w:tcW w:w="2438" w:type="dxa"/>
            <w:tcBorders>
              <w:top w:val="nil"/>
              <w:left w:val="single" w:sz="8" w:space="0" w:color="000000"/>
              <w:bottom w:val="single" w:sz="4" w:space="0" w:color="auto"/>
              <w:right w:val="nil"/>
            </w:tcBorders>
            <w:shd w:val="clear" w:color="auto" w:fill="auto"/>
          </w:tcPr>
          <w:p w:rsidR="0030208D" w:rsidRPr="00975B07" w:rsidRDefault="0030208D" w:rsidP="004E09B9">
            <w:r w:rsidRPr="00975B07">
              <w:t xml:space="preserve">Appendix </w:t>
            </w:r>
            <w:r w:rsidR="004E09B9">
              <w:t>2</w:t>
            </w:r>
          </w:p>
        </w:tc>
        <w:tc>
          <w:tcPr>
            <w:tcW w:w="6406" w:type="dxa"/>
            <w:tcBorders>
              <w:top w:val="nil"/>
              <w:left w:val="nil"/>
              <w:bottom w:val="single" w:sz="4" w:space="0" w:color="auto"/>
              <w:right w:val="single" w:sz="8" w:space="0" w:color="000000"/>
            </w:tcBorders>
          </w:tcPr>
          <w:p w:rsidR="0030208D" w:rsidRPr="001356F1" w:rsidRDefault="00C677B4" w:rsidP="00C677B4">
            <w:r>
              <w:t xml:space="preserve">Risk Assessment </w:t>
            </w:r>
          </w:p>
        </w:tc>
      </w:tr>
    </w:tbl>
    <w:p w:rsidR="00C677B4" w:rsidRDefault="00C677B4"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357BB1" w:rsidRDefault="00E87F7A" w:rsidP="00003E8A">
      <w:pPr>
        <w:pStyle w:val="ListParagraph"/>
      </w:pPr>
      <w:r w:rsidRPr="001356F1">
        <w:t>Th</w:t>
      </w:r>
      <w:r w:rsidR="00003E8A">
        <w:t>e G</w:t>
      </w:r>
      <w:r w:rsidR="00C677B4">
        <w:t xml:space="preserve">overnment </w:t>
      </w:r>
      <w:r w:rsidR="001712E2">
        <w:t>is</w:t>
      </w:r>
      <w:r w:rsidR="00C677B4">
        <w:t xml:space="preserve"> seeking views on a package of proposals for the reform of the planning system in England to “streamline and modernise the planning process, improve outcome on design and sustainability, reform developer contributions and </w:t>
      </w:r>
      <w:r w:rsidR="006A21A0">
        <w:t>ensure more land is available for development where it is needed</w:t>
      </w:r>
      <w:r w:rsidR="006F7F0A">
        <w:t>”</w:t>
      </w:r>
      <w:r w:rsidR="006A21A0">
        <w:t>.</w:t>
      </w:r>
      <w:r w:rsidR="00131CA5">
        <w:t xml:space="preserve"> These proposals are set o</w:t>
      </w:r>
      <w:r w:rsidR="006F7F0A">
        <w:t xml:space="preserve">ut in the White </w:t>
      </w:r>
      <w:r w:rsidR="00003E8A">
        <w:t>P</w:t>
      </w:r>
      <w:r w:rsidR="006F7F0A">
        <w:t xml:space="preserve">aper </w:t>
      </w:r>
      <w:r w:rsidR="00003E8A">
        <w:t>“</w:t>
      </w:r>
      <w:r w:rsidR="006F7F0A">
        <w:t>Planning f</w:t>
      </w:r>
      <w:r w:rsidR="00131CA5">
        <w:t>or the Future</w:t>
      </w:r>
      <w:r w:rsidR="00003E8A">
        <w:t>”</w:t>
      </w:r>
      <w:r w:rsidR="00131CA5">
        <w:t>, published on 6</w:t>
      </w:r>
      <w:r w:rsidR="00131CA5" w:rsidRPr="00131CA5">
        <w:rPr>
          <w:vertAlign w:val="superscript"/>
        </w:rPr>
        <w:t>th</w:t>
      </w:r>
      <w:r w:rsidR="00131CA5">
        <w:t xml:space="preserve"> August and open for consultation for 12 weeks until the 29</w:t>
      </w:r>
      <w:r w:rsidR="00131CA5" w:rsidRPr="00131CA5">
        <w:rPr>
          <w:vertAlign w:val="superscript"/>
        </w:rPr>
        <w:t>th</w:t>
      </w:r>
      <w:r w:rsidR="00131CA5">
        <w:t xml:space="preserve"> October. The intention is that the White </w:t>
      </w:r>
      <w:r w:rsidR="00003E8A">
        <w:t>P</w:t>
      </w:r>
      <w:r w:rsidR="00131CA5">
        <w:t xml:space="preserve">aper will be followed by legislative changes and then a </w:t>
      </w:r>
      <w:r w:rsidR="00357BB1">
        <w:t xml:space="preserve">renewed National Planning Policy Framework (NPPF) that reflects these proposals. </w:t>
      </w:r>
    </w:p>
    <w:p w:rsidR="00BE1459" w:rsidRDefault="00AE126B" w:rsidP="00003E8A">
      <w:pPr>
        <w:pStyle w:val="ListParagraph"/>
      </w:pPr>
      <w:r>
        <w:lastRenderedPageBreak/>
        <w:t xml:space="preserve">The officer’s response to </w:t>
      </w:r>
      <w:r w:rsidR="00003E8A">
        <w:t xml:space="preserve">the </w:t>
      </w:r>
      <w:r>
        <w:t xml:space="preserve">proposals </w:t>
      </w:r>
      <w:r w:rsidR="006F7F0A">
        <w:t>is</w:t>
      </w:r>
      <w:r>
        <w:t xml:space="preserve"> set out in Appendix 1.</w:t>
      </w:r>
      <w:r w:rsidR="00131CA5">
        <w:t xml:space="preserve"> The proposals in the White Paper are set out under three pillars. Each pillar has several proposals and then specific questions relating to these proposals. </w:t>
      </w:r>
      <w:r w:rsidR="00003E8A">
        <w:t>It is</w:t>
      </w:r>
      <w:r w:rsidR="00131CA5">
        <w:t xml:space="preserve"> intend</w:t>
      </w:r>
      <w:r w:rsidR="00003E8A">
        <w:t>ed</w:t>
      </w:r>
      <w:r w:rsidR="00131CA5">
        <w:t xml:space="preserve"> to send </w:t>
      </w:r>
      <w:r w:rsidR="00003E8A">
        <w:t>the</w:t>
      </w:r>
      <w:r w:rsidR="00131CA5">
        <w:t xml:space="preserve"> response as a document by email, rather than using the online comment form. In some </w:t>
      </w:r>
      <w:r w:rsidR="006F7F0A">
        <w:t>parts</w:t>
      </w:r>
      <w:r w:rsidR="00131CA5">
        <w:t xml:space="preserve"> of the response the questions</w:t>
      </w:r>
      <w:r w:rsidR="00003E8A">
        <w:t xml:space="preserve"> have not been used</w:t>
      </w:r>
      <w:r w:rsidR="00131CA5">
        <w:t xml:space="preserve"> as a guide because they were narrow in focus and d</w:t>
      </w:r>
      <w:r w:rsidR="00003E8A">
        <w:t>id</w:t>
      </w:r>
      <w:r w:rsidR="00131CA5">
        <w:t xml:space="preserve"> not allow a full response to all the issues raised. </w:t>
      </w:r>
    </w:p>
    <w:p w:rsidR="00BE1459" w:rsidRDefault="00357BB1" w:rsidP="003802D4">
      <w:pPr>
        <w:pStyle w:val="ListParagraph"/>
      </w:pPr>
      <w:r>
        <w:t>P</w:t>
      </w:r>
      <w:r w:rsidR="00131CA5">
        <w:t xml:space="preserve">illar </w:t>
      </w:r>
      <w:r>
        <w:t>One is p</w:t>
      </w:r>
      <w:r w:rsidR="004812D0">
        <w:t>lanning for development;</w:t>
      </w:r>
      <w:r>
        <w:t xml:space="preserve"> Pillar Two is planning for </w:t>
      </w:r>
      <w:r w:rsidR="004812D0">
        <w:t>sustainable places;</w:t>
      </w:r>
      <w:r>
        <w:t xml:space="preserve"> Pillar Three is planning for infrastructure and connected places. The response is structured in the same way, also subdivided to respond to </w:t>
      </w:r>
      <w:r w:rsidR="004812D0">
        <w:t>the</w:t>
      </w:r>
      <w:r>
        <w:t xml:space="preserve"> proposal</w:t>
      </w:r>
      <w:r w:rsidR="004812D0">
        <w:t>s</w:t>
      </w:r>
      <w:r>
        <w:t xml:space="preserve"> made under the pillars</w:t>
      </w:r>
      <w:r w:rsidR="004812D0">
        <w:t>, or the questions posed, depending on which fitted best with the comments that needed to be made</w:t>
      </w:r>
      <w:r w:rsidR="00131CA5">
        <w:t xml:space="preserve">. </w:t>
      </w:r>
    </w:p>
    <w:p w:rsidR="00BE1459" w:rsidRPr="0098196B" w:rsidRDefault="00BE1459" w:rsidP="00BE1459">
      <w:pPr>
        <w:rPr>
          <w:b/>
        </w:rPr>
      </w:pPr>
      <w:r w:rsidRPr="0098196B">
        <w:rPr>
          <w:b/>
        </w:rPr>
        <w:t>Summary of the content of the three pillars of the White Paper</w:t>
      </w:r>
    </w:p>
    <w:p w:rsidR="00BE1459" w:rsidRDefault="00357BB1" w:rsidP="004D4EFB">
      <w:pPr>
        <w:pStyle w:val="ListParagraph"/>
      </w:pPr>
      <w:r w:rsidRPr="00115997">
        <w:rPr>
          <w:b/>
        </w:rPr>
        <w:t>Pillar One – Planning for development</w:t>
      </w:r>
      <w:r>
        <w:t xml:space="preserve"> </w:t>
      </w:r>
      <w:r w:rsidR="000622CC">
        <w:t xml:space="preserve">includes proposals </w:t>
      </w:r>
      <w:r w:rsidR="003802D4">
        <w:t xml:space="preserve">to simplify the role of local plans, including by establishing development management policies at national level. </w:t>
      </w:r>
      <w:r w:rsidR="006F7F0A">
        <w:t>T</w:t>
      </w:r>
      <w:r w:rsidR="003802D4">
        <w:t>he proposed approach in the White Pa</w:t>
      </w:r>
      <w:r w:rsidR="006F7F0A">
        <w:t>per considers that a new style local p</w:t>
      </w:r>
      <w:r w:rsidR="003802D4">
        <w:t xml:space="preserve">lan should be more concise and focused principally on identifying areas for ‘growth’, </w:t>
      </w:r>
      <w:r w:rsidR="00003E8A">
        <w:t>‘renewal’ or ‘protection.’ The p</w:t>
      </w:r>
      <w:r w:rsidR="003802D4">
        <w:t>lan should be fundamentally map-based (with suggestions throughout t</w:t>
      </w:r>
      <w:r w:rsidR="00003E8A">
        <w:t>his section of the White P</w:t>
      </w:r>
      <w:r w:rsidR="003802D4">
        <w:t>aper about what will be required in terms</w:t>
      </w:r>
      <w:r w:rsidR="00115997">
        <w:t xml:space="preserve"> of presenting plans digitally), providing </w:t>
      </w:r>
      <w:r w:rsidR="003802D4">
        <w:t>broad zoning areas generally setting the principles for what development would be acceptable. In the case of ‘growth’ areas this then allows outline</w:t>
      </w:r>
      <w:r w:rsidR="00115997">
        <w:t xml:space="preserve"> permission</w:t>
      </w:r>
      <w:r w:rsidR="006F7F0A">
        <w:t>.</w:t>
      </w:r>
      <w:r w:rsidR="003802D4">
        <w:t xml:space="preserve"> Other proposals in this section include that a ‘sustainable development’ test will replace the tests of soundness and legal tests</w:t>
      </w:r>
      <w:r w:rsidR="00115997">
        <w:t>;</w:t>
      </w:r>
      <w:r w:rsidR="003802D4">
        <w:t xml:space="preserve"> that a standard method</w:t>
      </w:r>
      <w:r w:rsidR="00115997">
        <w:t xml:space="preserve">, </w:t>
      </w:r>
      <w:r w:rsidR="003802D4">
        <w:t xml:space="preserve">will </w:t>
      </w:r>
      <w:r w:rsidR="006F7F0A">
        <w:t>be used to nationally calculate</w:t>
      </w:r>
      <w:r w:rsidR="003802D4">
        <w:t xml:space="preserve"> binding housing requirement numbers for planning authorities</w:t>
      </w:r>
      <w:r w:rsidR="00115997">
        <w:t>,</w:t>
      </w:r>
      <w:r w:rsidR="00115997" w:rsidRPr="00115997">
        <w:t xml:space="preserve"> </w:t>
      </w:r>
      <w:r w:rsidR="00115997">
        <w:t>reduced where necessary also at a national level by application of constraints;</w:t>
      </w:r>
      <w:r w:rsidR="003802D4">
        <w:t xml:space="preserve"> and that neighbourhood planning will be retained. </w:t>
      </w:r>
    </w:p>
    <w:p w:rsidR="00BE1459" w:rsidRDefault="00357BB1" w:rsidP="00003E8A">
      <w:pPr>
        <w:pStyle w:val="ListParagraph"/>
      </w:pPr>
      <w:r w:rsidRPr="00115997">
        <w:rPr>
          <w:b/>
        </w:rPr>
        <w:t>Pillar Two</w:t>
      </w:r>
      <w:r w:rsidR="00BE1459" w:rsidRPr="00115997">
        <w:rPr>
          <w:b/>
        </w:rPr>
        <w:t>– Planning for beautiful and sustainable places</w:t>
      </w:r>
      <w:r>
        <w:t xml:space="preserve"> </w:t>
      </w:r>
      <w:r w:rsidR="00BE1459">
        <w:t>includes proposals to build on the National Design Guide to create more specific design standards. There will be an expectation that design guidance and codes will be prepared locally with community input either to support local plans, as part of neighbourhood plans or by developers. Where plans identify growth areas it will be required that a masterplan and site-specific code are agreed as a condition of the permission i</w:t>
      </w:r>
      <w:r w:rsidR="006F7F0A">
        <w:t>n</w:t>
      </w:r>
      <w:r w:rsidR="00BE1459">
        <w:t xml:space="preserve"> principle which is to be granted through the local plan process</w:t>
      </w:r>
      <w:r w:rsidR="006F7F0A">
        <w:t>.</w:t>
      </w:r>
      <w:r w:rsidR="00BE1459">
        <w:t xml:space="preserve"> </w:t>
      </w:r>
      <w:r w:rsidR="000F490F">
        <w:t xml:space="preserve">Proposals around stewardship and enhancement </w:t>
      </w:r>
      <w:r w:rsidR="006F7F0A">
        <w:t xml:space="preserve">of the environment </w:t>
      </w:r>
      <w:r w:rsidR="000F490F">
        <w:t xml:space="preserve">are </w:t>
      </w:r>
      <w:r w:rsidR="006F7F0A">
        <w:t>to be worked up in more detail</w:t>
      </w:r>
      <w:r w:rsidR="000F490F">
        <w:t xml:space="preserve">, </w:t>
      </w:r>
      <w:r w:rsidR="006F7F0A">
        <w:t xml:space="preserve">but </w:t>
      </w:r>
      <w:r w:rsidR="00003E8A">
        <w:t xml:space="preserve">they </w:t>
      </w:r>
      <w:r w:rsidR="0017142F">
        <w:t xml:space="preserve">make </w:t>
      </w:r>
      <w:r w:rsidR="000F490F">
        <w:t xml:space="preserve">some </w:t>
      </w:r>
      <w:r w:rsidR="008C4190">
        <w:t xml:space="preserve">currently not fully formed </w:t>
      </w:r>
      <w:r w:rsidR="000F490F">
        <w:t xml:space="preserve">suggestions about </w:t>
      </w:r>
      <w:r w:rsidR="00003E8A">
        <w:t>matters</w:t>
      </w:r>
      <w:r w:rsidR="000F490F">
        <w:t xml:space="preserve"> that are already </w:t>
      </w:r>
      <w:r w:rsidR="00003E8A">
        <w:t>carried out</w:t>
      </w:r>
      <w:r w:rsidR="000F490F">
        <w:t xml:space="preserve"> </w:t>
      </w:r>
      <w:r w:rsidR="00CA059B">
        <w:t>more thoroughly than would achieved by the suggested approach</w:t>
      </w:r>
      <w:r w:rsidR="0017142F">
        <w:t xml:space="preserve">, such as protection of the historic environment (there is no mention of balancing benefits and harm), </w:t>
      </w:r>
      <w:r w:rsidR="00003E8A">
        <w:t>Sustainability Appraisal (</w:t>
      </w:r>
      <w:r w:rsidR="0017142F">
        <w:t>SA</w:t>
      </w:r>
      <w:r w:rsidR="00003E8A">
        <w:t>)</w:t>
      </w:r>
      <w:r w:rsidR="0017142F">
        <w:t xml:space="preserve">, </w:t>
      </w:r>
      <w:r w:rsidR="00003E8A">
        <w:t>Habitats Regulations Assessment (</w:t>
      </w:r>
      <w:r w:rsidR="0017142F">
        <w:t>HRA</w:t>
      </w:r>
      <w:r w:rsidR="00003E8A">
        <w:t>)</w:t>
      </w:r>
      <w:r w:rsidR="0017142F">
        <w:t xml:space="preserve"> and </w:t>
      </w:r>
      <w:r w:rsidR="00003E8A">
        <w:t>Environmental Impact Assessment (</w:t>
      </w:r>
      <w:r w:rsidR="0017142F">
        <w:t>EIA</w:t>
      </w:r>
      <w:r w:rsidR="00003E8A">
        <w:t>)</w:t>
      </w:r>
      <w:r w:rsidR="0017142F">
        <w:t xml:space="preserve"> (which are all to be removed, with no concrete proposals for their replacement</w:t>
      </w:r>
      <w:r w:rsidR="007D2479">
        <w:t>)</w:t>
      </w:r>
      <w:r w:rsidR="000F490F">
        <w:t xml:space="preserve">. </w:t>
      </w:r>
    </w:p>
    <w:p w:rsidR="008C53DA" w:rsidRDefault="00357BB1" w:rsidP="00003E8A">
      <w:pPr>
        <w:pStyle w:val="ListParagraph"/>
      </w:pPr>
      <w:r w:rsidRPr="00291BAB">
        <w:rPr>
          <w:b/>
        </w:rPr>
        <w:t>Pillar Three – Planning for infrastructure and connected places</w:t>
      </w:r>
      <w:r w:rsidR="007F7896" w:rsidRPr="00AB337F">
        <w:t xml:space="preserve"> sets out proposals relating to the funding of infrastructure. It is proposed that CIL and S106 planning obligations are replaced with a new infrastructure levy, set by </w:t>
      </w:r>
      <w:r w:rsidR="00003E8A">
        <w:t>the G</w:t>
      </w:r>
      <w:r w:rsidR="007F7896" w:rsidRPr="00AB337F">
        <w:t>overnment and charged as a fixed proportion of the development value above a set threshold. It is acknowledged there is likely to</w:t>
      </w:r>
      <w:r w:rsidR="00003E8A">
        <w:t xml:space="preserve"> be a</w:t>
      </w:r>
      <w:r w:rsidR="0017142F">
        <w:t xml:space="preserve"> need </w:t>
      </w:r>
      <w:r w:rsidR="00003E8A">
        <w:t>for</w:t>
      </w:r>
      <w:r w:rsidR="007F7896" w:rsidRPr="00AB337F">
        <w:t xml:space="preserve"> some variation across the country, although it is not suggested how finely grained this variation may be. </w:t>
      </w:r>
      <w:r w:rsidR="00AB337F" w:rsidRPr="00AB337F">
        <w:t xml:space="preserve">There are two possible funding mechanisms put forward for affordable housing. Either it would be secured as in-kind payment towards the Infrastructure </w:t>
      </w:r>
      <w:r w:rsidR="00AB337F" w:rsidRPr="00AB337F">
        <w:lastRenderedPageBreak/>
        <w:t xml:space="preserve">Fund or there would be a right to purchase at discounted rates for local authorities. </w:t>
      </w:r>
      <w:r w:rsidR="007F7896" w:rsidRPr="00AB337F">
        <w:t xml:space="preserve">It is proposed that </w:t>
      </w:r>
      <w:r w:rsidR="00003E8A">
        <w:t>councils</w:t>
      </w:r>
      <w:r w:rsidR="007F7896" w:rsidRPr="00AB337F">
        <w:t xml:space="preserve"> would borrow against future payments to </w:t>
      </w:r>
      <w:r w:rsidR="00003E8A">
        <w:t>them</w:t>
      </w:r>
      <w:r w:rsidR="007F7896" w:rsidRPr="00AB337F">
        <w:t xml:space="preserve"> of this levy in order to forward fund infrastructure. The levy is to be collected on occupation</w:t>
      </w:r>
      <w:r w:rsidR="00AB337F" w:rsidRPr="00AB337F">
        <w:t xml:space="preserve">. </w:t>
      </w:r>
      <w:r w:rsidRPr="00AB337F">
        <w:t xml:space="preserve"> </w:t>
      </w:r>
    </w:p>
    <w:p w:rsidR="008C53DA" w:rsidRPr="0098196B" w:rsidRDefault="008C53DA" w:rsidP="008C53DA">
      <w:pPr>
        <w:rPr>
          <w:b/>
        </w:rPr>
      </w:pPr>
      <w:r w:rsidRPr="0098196B">
        <w:rPr>
          <w:b/>
        </w:rPr>
        <w:t>Response to the White Paper</w:t>
      </w:r>
    </w:p>
    <w:p w:rsidR="008C53DA" w:rsidRDefault="008C53DA" w:rsidP="00003E8A">
      <w:pPr>
        <w:pStyle w:val="ListParagraph"/>
      </w:pPr>
      <w:r>
        <w:t xml:space="preserve">The response </w:t>
      </w:r>
      <w:r w:rsidR="00003E8A">
        <w:t>states</w:t>
      </w:r>
      <w:r>
        <w:t xml:space="preserve"> that in most areas of the White Paper the proposed reforms cannot be supported. Greater caution needs to be exercised</w:t>
      </w:r>
      <w:r w:rsidR="00CA059B">
        <w:t xml:space="preserve"> to avoid unintended negative effects through an over-zealous wish to make radical changes</w:t>
      </w:r>
      <w:r>
        <w:t xml:space="preserve">. </w:t>
      </w:r>
    </w:p>
    <w:p w:rsidR="009F05A4" w:rsidRDefault="008C53DA" w:rsidP="00003E8A">
      <w:pPr>
        <w:pStyle w:val="ListParagraph"/>
      </w:pPr>
      <w:r>
        <w:t xml:space="preserve">Appendix 1 </w:t>
      </w:r>
      <w:r w:rsidR="007D2479">
        <w:t xml:space="preserve">sets out </w:t>
      </w:r>
      <w:r w:rsidR="00003E8A">
        <w:t>the</w:t>
      </w:r>
      <w:r>
        <w:t xml:space="preserve"> proposed detailed response. There are some key </w:t>
      </w:r>
      <w:r w:rsidR="00AB337F">
        <w:t>cross-cutting</w:t>
      </w:r>
      <w:r>
        <w:t xml:space="preserve"> themes behind the White Paper</w:t>
      </w:r>
      <w:r w:rsidR="00AB337F">
        <w:t xml:space="preserve"> and </w:t>
      </w:r>
      <w:r w:rsidR="0017142F">
        <w:t xml:space="preserve">the introduction to the response provides a commentary giving </w:t>
      </w:r>
      <w:r w:rsidR="00003E8A">
        <w:t>a</w:t>
      </w:r>
      <w:r w:rsidR="007E6946">
        <w:t xml:space="preserve"> view on these</w:t>
      </w:r>
      <w:r w:rsidR="00AB337F">
        <w:t xml:space="preserve">. </w:t>
      </w:r>
    </w:p>
    <w:p w:rsidR="007B2D9A" w:rsidRDefault="00003E8A" w:rsidP="00AB337F">
      <w:pPr>
        <w:pStyle w:val="ListParagraph"/>
      </w:pPr>
      <w:r>
        <w:t>The</w:t>
      </w:r>
      <w:r w:rsidR="007B2D9A">
        <w:t xml:space="preserve"> greatest concerns with the implications of the proposals in the White </w:t>
      </w:r>
      <w:r w:rsidR="00CA059B">
        <w:t>Paper are</w:t>
      </w:r>
      <w:r w:rsidR="007B2D9A">
        <w:t>:</w:t>
      </w:r>
    </w:p>
    <w:p w:rsidR="007B2D9A" w:rsidRDefault="007B2D9A" w:rsidP="00D45258">
      <w:pPr>
        <w:pStyle w:val="ListParagraph"/>
        <w:numPr>
          <w:ilvl w:val="0"/>
          <w:numId w:val="36"/>
        </w:numPr>
      </w:pPr>
      <w:r>
        <w:t>That planning policies are to be set nationally and therefore may be watered down and will not reflect local circumstances</w:t>
      </w:r>
      <w:r w:rsidR="0017142F">
        <w:t xml:space="preserve"> (for example parking policies, carbon efficiency, flood risk)</w:t>
      </w:r>
      <w:r w:rsidR="00D45258">
        <w:t>;</w:t>
      </w:r>
    </w:p>
    <w:p w:rsidR="007B2D9A" w:rsidRDefault="007B2D9A" w:rsidP="00D45258">
      <w:pPr>
        <w:pStyle w:val="ListParagraph"/>
        <w:numPr>
          <w:ilvl w:val="0"/>
          <w:numId w:val="36"/>
        </w:numPr>
      </w:pPr>
      <w:r>
        <w:t>That the zonal approach</w:t>
      </w:r>
      <w:r w:rsidR="00CA059B">
        <w:t xml:space="preserve"> to local plans</w:t>
      </w:r>
      <w:r>
        <w:t xml:space="preserve"> will not be able to ensure the right mix of uses in the right locations is delivered</w:t>
      </w:r>
      <w:r w:rsidR="00D45258">
        <w:t>;</w:t>
      </w:r>
    </w:p>
    <w:p w:rsidR="007B2D9A" w:rsidRDefault="007B2D9A" w:rsidP="00D45258">
      <w:pPr>
        <w:pStyle w:val="ListParagraph"/>
        <w:numPr>
          <w:ilvl w:val="0"/>
          <w:numId w:val="36"/>
        </w:numPr>
      </w:pPr>
      <w:r>
        <w:t>That there are serious implications for delivery of affordable housing and infrastructure</w:t>
      </w:r>
      <w:r w:rsidR="00526259">
        <w:t xml:space="preserve"> which will have impacts upon homelessness across the city</w:t>
      </w:r>
      <w:r w:rsidR="00D45258">
        <w:t>;</w:t>
      </w:r>
    </w:p>
    <w:p w:rsidR="007B2D9A" w:rsidRDefault="007B2D9A" w:rsidP="00D45258">
      <w:pPr>
        <w:pStyle w:val="ListParagraph"/>
        <w:numPr>
          <w:ilvl w:val="0"/>
          <w:numId w:val="36"/>
        </w:numPr>
      </w:pPr>
      <w:r>
        <w:t>That the housing requirement will be binding and set nationally, with constraints calculated nationally. There are no proposals for accounting for economic growth needs or ambitions</w:t>
      </w:r>
      <w:r w:rsidR="0017142F">
        <w:t xml:space="preserve"> or affordable housing need (only affordability)</w:t>
      </w:r>
      <w:r>
        <w:t xml:space="preserve">, </w:t>
      </w:r>
      <w:r w:rsidR="00D45258">
        <w:t>and the ideas for replacement of the duty to cooperate system</w:t>
      </w:r>
      <w:r w:rsidR="00CA059B">
        <w:t xml:space="preserve"> to distribute unmet need</w:t>
      </w:r>
      <w:r w:rsidR="00D45258">
        <w:t xml:space="preserve"> are unclear;</w:t>
      </w:r>
    </w:p>
    <w:p w:rsidR="007B2D9A" w:rsidRDefault="007B2D9A" w:rsidP="00D45258">
      <w:pPr>
        <w:pStyle w:val="ListParagraph"/>
        <w:numPr>
          <w:ilvl w:val="0"/>
          <w:numId w:val="36"/>
        </w:numPr>
      </w:pPr>
      <w:r>
        <w:t xml:space="preserve">That there is not enough thought about how the changes will be resourced. This applies to </w:t>
      </w:r>
      <w:r w:rsidR="00CA059B">
        <w:t>local planning authorities</w:t>
      </w:r>
      <w:r w:rsidR="00850A66">
        <w:t xml:space="preserve"> who will have many design codes to produce in a short space of time</w:t>
      </w:r>
      <w:r w:rsidR="00CA059B">
        <w:t xml:space="preserve"> and also to </w:t>
      </w:r>
      <w:r>
        <w:t>MHCLG, which will have to generate housing requirements including by applying constraints in local authority areas</w:t>
      </w:r>
      <w:r w:rsidR="0017142F">
        <w:t>,</w:t>
      </w:r>
      <w:r>
        <w:t xml:space="preserve"> as well as producing a policy framework adequate for all policy decisions</w:t>
      </w:r>
      <w:r w:rsidR="00D45258">
        <w:t>;</w:t>
      </w:r>
    </w:p>
    <w:p w:rsidR="007B2D9A" w:rsidRPr="001356F1" w:rsidRDefault="007B2D9A" w:rsidP="00D45258">
      <w:pPr>
        <w:pStyle w:val="ListParagraph"/>
        <w:numPr>
          <w:ilvl w:val="0"/>
          <w:numId w:val="36"/>
        </w:numPr>
      </w:pPr>
      <w:r>
        <w:t xml:space="preserve">That there will not be ‘more democracy’ as stated, but significantly less. Proposals are less likely to require planning permission, </w:t>
      </w:r>
      <w:r w:rsidR="00850A66">
        <w:t>as</w:t>
      </w:r>
      <w:r>
        <w:t xml:space="preserve"> if they have permission in principle </w:t>
      </w:r>
      <w:r w:rsidR="00850A66">
        <w:t xml:space="preserve">they </w:t>
      </w:r>
      <w:r>
        <w:t xml:space="preserve">will not go to committee. The short timescales and proposed timings for engagement </w:t>
      </w:r>
      <w:r w:rsidR="00CA059B">
        <w:t>during the preparation of</w:t>
      </w:r>
      <w:r>
        <w:t xml:space="preserve"> local plans give few opportunities to meaningfully engage. </w:t>
      </w:r>
      <w:r w:rsidR="00850A66">
        <w:t xml:space="preserve">The short timescales for determining applications effectively rule out committee decisions. </w:t>
      </w:r>
    </w:p>
    <w:p w:rsidR="0040736F" w:rsidRPr="001356F1" w:rsidRDefault="002329CF" w:rsidP="004A6D2F">
      <w:pPr>
        <w:pStyle w:val="Heading1"/>
      </w:pPr>
      <w:r w:rsidRPr="001356F1">
        <w:t>Financial implications</w:t>
      </w:r>
    </w:p>
    <w:p w:rsidR="00F164E5" w:rsidRPr="00F164E5" w:rsidRDefault="00E87F7A" w:rsidP="00003E8A">
      <w:pPr>
        <w:pStyle w:val="ListParagraph"/>
        <w:rPr>
          <w:b/>
        </w:rPr>
      </w:pPr>
      <w:r w:rsidRPr="001356F1">
        <w:t>Th</w:t>
      </w:r>
      <w:r w:rsidR="005E556B">
        <w:t>e</w:t>
      </w:r>
      <w:r w:rsidR="001712E2">
        <w:t xml:space="preserve"> response to the White Paper itself has no financial implications. </w:t>
      </w:r>
      <w:r w:rsidR="00A06AA1">
        <w:t xml:space="preserve">There are minor resource implications of the further rounds of comment that are likely to be necessary, for example on a revised NPPF. </w:t>
      </w:r>
    </w:p>
    <w:p w:rsidR="00D76297" w:rsidRPr="00D76297" w:rsidRDefault="00A06AA1" w:rsidP="00F164E5">
      <w:pPr>
        <w:pStyle w:val="ListParagraph"/>
        <w:rPr>
          <w:b/>
        </w:rPr>
      </w:pPr>
      <w:r>
        <w:t>The i</w:t>
      </w:r>
      <w:r w:rsidR="001712E2">
        <w:t>mplementation of the</w:t>
      </w:r>
      <w:r w:rsidR="005E556B">
        <w:t xml:space="preserve"> White Paper</w:t>
      </w:r>
      <w:r w:rsidR="001712E2">
        <w:t xml:space="preserve"> would have </w:t>
      </w:r>
      <w:r w:rsidR="005E556B">
        <w:t xml:space="preserve">financial implications on the planning </w:t>
      </w:r>
      <w:r w:rsidR="001712E2">
        <w:t xml:space="preserve">service, for example as there would be </w:t>
      </w:r>
      <w:r w:rsidR="00003E8A">
        <w:t xml:space="preserve">reduced </w:t>
      </w:r>
      <w:r w:rsidR="001712E2">
        <w:t>planning application fees but</w:t>
      </w:r>
      <w:r w:rsidR="00F164E5">
        <w:t xml:space="preserve"> instead </w:t>
      </w:r>
      <w:r w:rsidR="001712E2">
        <w:t xml:space="preserve">developers would be expected to help fund their sites through the Local Plan process. </w:t>
      </w:r>
      <w:r w:rsidR="00D76297">
        <w:t xml:space="preserve">Planning fees amount to approximately £1,000,000 a year currently as a ring-fenced fee income that helps fund the service. This would certainly reduce </w:t>
      </w:r>
      <w:r w:rsidR="00D76297">
        <w:lastRenderedPageBreak/>
        <w:t xml:space="preserve">under the proposals, but by how much and whether developers funding sites through the local plan process could replicate this is currently unknown, but this risk will need to be monitored as more information becomes known. </w:t>
      </w:r>
    </w:p>
    <w:p w:rsidR="00A06AA1" w:rsidRPr="00D94CA3" w:rsidRDefault="001712E2" w:rsidP="00F164E5">
      <w:pPr>
        <w:pStyle w:val="ListParagraph"/>
        <w:rPr>
          <w:b/>
        </w:rPr>
      </w:pPr>
      <w:r>
        <w:t>T</w:t>
      </w:r>
      <w:r w:rsidR="00A06AA1">
        <w:t>he transition to a new system will also have financial implications. T</w:t>
      </w:r>
      <w:r>
        <w:t xml:space="preserve">he amount of upfront information needed to enable </w:t>
      </w:r>
      <w:r w:rsidR="00A06AA1">
        <w:t>growth areas to be allocated</w:t>
      </w:r>
      <w:r>
        <w:t xml:space="preserve"> and effectively have permission in principal</w:t>
      </w:r>
      <w:r w:rsidR="00A06AA1">
        <w:t>, such as design codes,</w:t>
      </w:r>
      <w:r>
        <w:t xml:space="preserve"> is likely to have financial implications. However, at this point there are not enough details in the White Paper to fully work through these implications</w:t>
      </w:r>
      <w:r w:rsidR="00A06AA1">
        <w:t>.</w:t>
      </w:r>
      <w:r w:rsidR="00C51401">
        <w:t xml:space="preserve">     </w:t>
      </w:r>
    </w:p>
    <w:p w:rsidR="008B53BC" w:rsidRPr="008B53BC" w:rsidRDefault="00D94CA3" w:rsidP="008B53BC">
      <w:pPr>
        <w:pStyle w:val="ListParagraph"/>
        <w:rPr>
          <w:bCs/>
        </w:rPr>
      </w:pPr>
      <w:r>
        <w:t xml:space="preserve">The removal of CIL and S106 financial contributions and replacement with a centrally set Infrastructure Levy is likely to have financial implications and implications on the delivery of affordable housing, as the levy would have to be set at a level that is widely viable, meaning the full value of development in Oxford is unlikely to be achieved. </w:t>
      </w:r>
      <w:r w:rsidR="008B53BC">
        <w:rPr>
          <w:bCs/>
        </w:rPr>
        <w:t xml:space="preserve">The single, nationally set fund that will also fund affordable housing will inevitably lead to a reduction in the amount of affordable housing delivered and the amount of social rented housing delivered. This result in further demands on services, for example through increased homelessness. </w:t>
      </w:r>
    </w:p>
    <w:p w:rsidR="00EF4E55" w:rsidRPr="0059479C" w:rsidRDefault="00D94CA3" w:rsidP="0059479C">
      <w:pPr>
        <w:pStyle w:val="ListParagraph"/>
        <w:rPr>
          <w:bCs/>
        </w:rPr>
      </w:pPr>
      <w:r>
        <w:t xml:space="preserve">The White Paper puts forward the </w:t>
      </w:r>
      <w:r w:rsidR="00A37F13" w:rsidRPr="0059479C">
        <w:rPr>
          <w:bCs/>
        </w:rPr>
        <w:t>idea that this Infrastructure fund could potentially be used to fund wider serv</w:t>
      </w:r>
      <w:r w:rsidR="0059479C" w:rsidRPr="0059479C">
        <w:rPr>
          <w:bCs/>
        </w:rPr>
        <w:t xml:space="preserve">ices or council tax reductions, but other than necessary administration of the fund the response suggests that this infrastructure fund should be used on necessary infrastructure to support new developments. </w:t>
      </w:r>
    </w:p>
    <w:p w:rsidR="00A06AA1" w:rsidRPr="00A06AA1" w:rsidRDefault="00A06AA1" w:rsidP="00A06AA1">
      <w:pPr>
        <w:rPr>
          <w:b/>
        </w:rPr>
      </w:pPr>
      <w:r w:rsidRPr="00A06AA1">
        <w:rPr>
          <w:b/>
        </w:rPr>
        <w:t>Legal issues</w:t>
      </w:r>
      <w:r w:rsidR="00C51401">
        <w:t xml:space="preserve">                                                                                                               </w:t>
      </w:r>
      <w:r>
        <w:t xml:space="preserve">                             </w:t>
      </w:r>
    </w:p>
    <w:p w:rsidR="00A06AA1" w:rsidRPr="007E6946" w:rsidRDefault="005E556B" w:rsidP="00A06AA1">
      <w:pPr>
        <w:pStyle w:val="ListParagraph"/>
        <w:rPr>
          <w:rFonts w:asciiTheme="minorBidi" w:hAnsiTheme="minorBidi" w:cstheme="minorBidi"/>
          <w:b/>
          <w:color w:val="auto"/>
        </w:rPr>
      </w:pPr>
      <w:r w:rsidRPr="007E6946">
        <w:rPr>
          <w:rFonts w:asciiTheme="minorBidi" w:hAnsiTheme="minorBidi" w:cstheme="minorBidi"/>
          <w:color w:val="auto"/>
        </w:rPr>
        <w:t>T</w:t>
      </w:r>
      <w:r w:rsidR="00E87F7A" w:rsidRPr="007E6946">
        <w:rPr>
          <w:rFonts w:asciiTheme="minorBidi" w:hAnsiTheme="minorBidi" w:cstheme="minorBidi"/>
          <w:color w:val="auto"/>
        </w:rPr>
        <w:t>here are no legal implications</w:t>
      </w:r>
      <w:r w:rsidR="007E6946">
        <w:rPr>
          <w:rFonts w:asciiTheme="minorBidi" w:hAnsiTheme="minorBidi" w:cstheme="minorBidi"/>
          <w:color w:val="auto"/>
        </w:rPr>
        <w:t xml:space="preserve"> of the response to the White Paper itself</w:t>
      </w:r>
      <w:r w:rsidR="00E87F7A" w:rsidRPr="007E6946">
        <w:rPr>
          <w:rFonts w:asciiTheme="minorBidi" w:hAnsiTheme="minorBidi" w:cstheme="minorBidi"/>
          <w:color w:val="auto"/>
        </w:rPr>
        <w:t>.</w:t>
      </w:r>
      <w:r w:rsidR="00A06AA1" w:rsidRPr="007E6946">
        <w:rPr>
          <w:rFonts w:asciiTheme="minorBidi" w:hAnsiTheme="minorBidi" w:cstheme="minorBidi"/>
          <w:color w:val="auto"/>
        </w:rPr>
        <w:t xml:space="preserve"> The implementation of the proposals as set out would have potential legal implications. As the public will have less opportunity to have their say, and as it becomes a more regulatory system, it is likely they will revert to the courts more often </w:t>
      </w:r>
    </w:p>
    <w:p w:rsidR="002329CF" w:rsidRPr="001356F1" w:rsidRDefault="002329CF" w:rsidP="004A6D2F">
      <w:pPr>
        <w:pStyle w:val="Heading1"/>
      </w:pPr>
      <w:r w:rsidRPr="001356F1">
        <w:t>Level of risk</w:t>
      </w:r>
    </w:p>
    <w:p w:rsidR="00FE200A" w:rsidRDefault="003B6BC9" w:rsidP="0050321C">
      <w:pPr>
        <w:pStyle w:val="ListParagraph"/>
      </w:pPr>
      <w:r>
        <w:t xml:space="preserve">Please refer to the </w:t>
      </w:r>
      <w:r w:rsidR="00151888" w:rsidRPr="001356F1">
        <w:t>R</w:t>
      </w:r>
      <w:r w:rsidR="002329CF" w:rsidRPr="001356F1">
        <w:t xml:space="preserve">isk </w:t>
      </w:r>
      <w:r w:rsidR="00151888" w:rsidRPr="001356F1">
        <w:t>R</w:t>
      </w:r>
      <w:r w:rsidR="0093067A" w:rsidRPr="001356F1">
        <w:t>egister</w:t>
      </w:r>
      <w:r w:rsidR="002329CF" w:rsidRPr="001356F1">
        <w:t xml:space="preserve"> </w:t>
      </w:r>
      <w:r w:rsidR="004E09B9">
        <w:t>A</w:t>
      </w:r>
      <w:r w:rsidR="002329CF" w:rsidRPr="001356F1">
        <w:t>ppendix</w:t>
      </w:r>
      <w:r w:rsidR="00FE200A">
        <w:t xml:space="preserve"> </w:t>
      </w:r>
      <w:r w:rsidR="004E09B9">
        <w:t>2</w:t>
      </w:r>
      <w:r w:rsidR="002329CF" w:rsidRPr="001356F1">
        <w:t xml:space="preserve">. </w:t>
      </w:r>
    </w:p>
    <w:p w:rsidR="002329CF" w:rsidRPr="00FE200A" w:rsidRDefault="002329CF" w:rsidP="00FE200A">
      <w:pPr>
        <w:rPr>
          <w:b/>
        </w:rPr>
      </w:pPr>
      <w:r w:rsidRPr="00FE200A">
        <w:rPr>
          <w:b/>
        </w:rPr>
        <w:t xml:space="preserve">Equalities impact </w:t>
      </w:r>
    </w:p>
    <w:p w:rsidR="002329CF" w:rsidRDefault="002D0A54" w:rsidP="004A6D2F">
      <w:pPr>
        <w:pStyle w:val="ListParagraph"/>
      </w:pPr>
      <w:r>
        <w:t>An equalities impact assessment is not required. The report is a response to a Government consultation, so has no direct implications</w:t>
      </w:r>
      <w:r w:rsidR="002329CF" w:rsidRPr="001356F1">
        <w:t>.</w:t>
      </w:r>
      <w:r w:rsidR="0093067A" w:rsidRPr="001356F1">
        <w:t xml:space="preserve"> </w:t>
      </w:r>
    </w:p>
    <w:p w:rsidR="000E2F09" w:rsidRPr="001356F1" w:rsidRDefault="000E2F09" w:rsidP="000E2F09"/>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E200A" w:rsidP="00FE200A">
            <w:r>
              <w:t xml:space="preserve">Carolyn </w:t>
            </w:r>
            <w:proofErr w:type="spellStart"/>
            <w:r>
              <w:t>Ploszynski</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E200A" w:rsidP="00FE200A">
            <w:r>
              <w:t>Planning Policy and Place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E200A" w:rsidP="00FE200A">
            <w:r>
              <w:t>Planning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FE200A" w:rsidP="00A46E98">
            <w:r>
              <w:t>07483012483</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FE200A" w:rsidP="00FE200A">
            <w:pPr>
              <w:rPr>
                <w:rStyle w:val="Hyperlink"/>
                <w:color w:val="000000"/>
              </w:rPr>
            </w:pPr>
            <w:r>
              <w:rPr>
                <w:rStyle w:val="Hyperlink"/>
                <w:color w:val="000000"/>
              </w:rPr>
              <w:t>cploszynski@oxford.gov.uk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5570B5" w:rsidRPr="00A46E98" w:rsidTr="00A46E98">
        <w:tc>
          <w:tcPr>
            <w:tcW w:w="567" w:type="dxa"/>
            <w:tcBorders>
              <w:top w:val="nil"/>
              <w:left w:val="single" w:sz="8" w:space="0" w:color="000000"/>
              <w:bottom w:val="single" w:sz="8" w:space="0" w:color="000000"/>
              <w:right w:val="nil"/>
            </w:tcBorders>
            <w:shd w:val="clear" w:color="auto" w:fill="auto"/>
          </w:tcPr>
          <w:p w:rsidR="0093067A" w:rsidRPr="00A46E98" w:rsidRDefault="0093067A" w:rsidP="00F41AC1"/>
        </w:tc>
        <w:tc>
          <w:tcPr>
            <w:tcW w:w="8364" w:type="dxa"/>
            <w:tcBorders>
              <w:top w:val="nil"/>
              <w:left w:val="nil"/>
              <w:bottom w:val="single" w:sz="8" w:space="0" w:color="000000"/>
              <w:right w:val="single" w:sz="8" w:space="0" w:color="000000"/>
            </w:tcBorders>
          </w:tcPr>
          <w:p w:rsidR="0093067A" w:rsidRPr="00A46E98" w:rsidRDefault="0093067A" w:rsidP="00F41AC1"/>
        </w:tc>
      </w:tr>
    </w:tbl>
    <w:p w:rsidR="004456DD" w:rsidRPr="009E51FC" w:rsidRDefault="004456DD" w:rsidP="0093067A"/>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C9" w:rsidRDefault="003B6BC9" w:rsidP="004A6D2F">
      <w:r>
        <w:separator/>
      </w:r>
    </w:p>
  </w:endnote>
  <w:endnote w:type="continuationSeparator" w:id="0">
    <w:p w:rsidR="003B6BC9" w:rsidRDefault="003B6BC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C9" w:rsidRDefault="003B6BC9" w:rsidP="004A6D2F">
      <w:r>
        <w:separator/>
      </w:r>
    </w:p>
  </w:footnote>
  <w:footnote w:type="continuationSeparator" w:id="0">
    <w:p w:rsidR="003B6BC9" w:rsidRDefault="003B6BC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024FA2AB" wp14:editId="024FA2A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5C1379"/>
    <w:multiLevelType w:val="hybridMultilevel"/>
    <w:tmpl w:val="590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A13C58"/>
    <w:multiLevelType w:val="multilevel"/>
    <w:tmpl w:val="75FA7B06"/>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0526B7"/>
    <w:multiLevelType w:val="hybridMultilevel"/>
    <w:tmpl w:val="DC24E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C1CF9"/>
    <w:multiLevelType w:val="hybridMultilevel"/>
    <w:tmpl w:val="63D6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E67CE66C"/>
    <w:numStyleLink w:val="StyleNumberedLeft0cmHanging075cm"/>
  </w:abstractNum>
  <w:num w:numId="1">
    <w:abstractNumId w:val="28"/>
  </w:num>
  <w:num w:numId="2">
    <w:abstractNumId w:val="34"/>
  </w:num>
  <w:num w:numId="3">
    <w:abstractNumId w:val="24"/>
  </w:num>
  <w:num w:numId="4">
    <w:abstractNumId w:val="19"/>
  </w:num>
  <w:num w:numId="5">
    <w:abstractNumId w:val="30"/>
  </w:num>
  <w:num w:numId="6">
    <w:abstractNumId w:val="35"/>
  </w:num>
  <w:num w:numId="7">
    <w:abstractNumId w:val="23"/>
  </w:num>
  <w:num w:numId="8">
    <w:abstractNumId w:val="21"/>
  </w:num>
  <w:num w:numId="9">
    <w:abstractNumId w:val="13"/>
  </w:num>
  <w:num w:numId="10">
    <w:abstractNumId w:val="15"/>
  </w:num>
  <w:num w:numId="11">
    <w:abstractNumId w:val="26"/>
  </w:num>
  <w:num w:numId="12">
    <w:abstractNumId w:val="25"/>
  </w:num>
  <w:num w:numId="13">
    <w:abstractNumId w:val="10"/>
  </w:num>
  <w:num w:numId="14">
    <w:abstractNumId w:val="36"/>
  </w:num>
  <w:num w:numId="15">
    <w:abstractNumId w:val="17"/>
  </w:num>
  <w:num w:numId="16">
    <w:abstractNumId w:val="11"/>
  </w:num>
  <w:num w:numId="17">
    <w:abstractNumId w:val="29"/>
  </w:num>
  <w:num w:numId="18">
    <w:abstractNumId w:val="12"/>
  </w:num>
  <w:num w:numId="19">
    <w:abstractNumId w:val="32"/>
  </w:num>
  <w:num w:numId="20">
    <w:abstractNumId w:val="18"/>
  </w:num>
  <w:num w:numId="21">
    <w:abstractNumId w:val="22"/>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1"/>
  </w:num>
  <w:num w:numId="35">
    <w:abstractNumId w:val="16"/>
  </w:num>
  <w:num w:numId="36">
    <w:abstractNumId w:val="20"/>
  </w:num>
  <w:num w:numId="3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C9"/>
    <w:rsid w:val="00003E8A"/>
    <w:rsid w:val="000117D4"/>
    <w:rsid w:val="000314D7"/>
    <w:rsid w:val="00045F8B"/>
    <w:rsid w:val="00046D2B"/>
    <w:rsid w:val="00056263"/>
    <w:rsid w:val="000622CC"/>
    <w:rsid w:val="00064D8A"/>
    <w:rsid w:val="00064F82"/>
    <w:rsid w:val="00066510"/>
    <w:rsid w:val="00077523"/>
    <w:rsid w:val="00084BDA"/>
    <w:rsid w:val="000C089F"/>
    <w:rsid w:val="000C3928"/>
    <w:rsid w:val="000C5E8E"/>
    <w:rsid w:val="000E2F09"/>
    <w:rsid w:val="000F4751"/>
    <w:rsid w:val="000F490F"/>
    <w:rsid w:val="0010524C"/>
    <w:rsid w:val="00111FB1"/>
    <w:rsid w:val="00113418"/>
    <w:rsid w:val="00115997"/>
    <w:rsid w:val="00131CA5"/>
    <w:rsid w:val="001356F1"/>
    <w:rsid w:val="00136994"/>
    <w:rsid w:val="0014128E"/>
    <w:rsid w:val="00151888"/>
    <w:rsid w:val="001638B5"/>
    <w:rsid w:val="00170A2D"/>
    <w:rsid w:val="001712E2"/>
    <w:rsid w:val="0017142F"/>
    <w:rsid w:val="001752AD"/>
    <w:rsid w:val="001808BC"/>
    <w:rsid w:val="00182B81"/>
    <w:rsid w:val="0018619D"/>
    <w:rsid w:val="001A011E"/>
    <w:rsid w:val="001A066A"/>
    <w:rsid w:val="001A13E6"/>
    <w:rsid w:val="001A2F8C"/>
    <w:rsid w:val="001A5731"/>
    <w:rsid w:val="001B30E2"/>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91BAB"/>
    <w:rsid w:val="002A22E2"/>
    <w:rsid w:val="002C64F7"/>
    <w:rsid w:val="002D0A54"/>
    <w:rsid w:val="002F41F2"/>
    <w:rsid w:val="00301BF3"/>
    <w:rsid w:val="0030208D"/>
    <w:rsid w:val="00323418"/>
    <w:rsid w:val="003357BF"/>
    <w:rsid w:val="00357BB1"/>
    <w:rsid w:val="00364FAD"/>
    <w:rsid w:val="0036738F"/>
    <w:rsid w:val="0036759C"/>
    <w:rsid w:val="00367AE5"/>
    <w:rsid w:val="00367D71"/>
    <w:rsid w:val="003802D4"/>
    <w:rsid w:val="0038150A"/>
    <w:rsid w:val="003B6BC9"/>
    <w:rsid w:val="003B6E75"/>
    <w:rsid w:val="003B7DA1"/>
    <w:rsid w:val="003D0379"/>
    <w:rsid w:val="003D2574"/>
    <w:rsid w:val="003D4C59"/>
    <w:rsid w:val="003F2146"/>
    <w:rsid w:val="003F4267"/>
    <w:rsid w:val="00404032"/>
    <w:rsid w:val="0040736F"/>
    <w:rsid w:val="00412C1F"/>
    <w:rsid w:val="00421CB2"/>
    <w:rsid w:val="004268B9"/>
    <w:rsid w:val="00433B96"/>
    <w:rsid w:val="004440F1"/>
    <w:rsid w:val="004456DD"/>
    <w:rsid w:val="00446CDF"/>
    <w:rsid w:val="00446D99"/>
    <w:rsid w:val="004521B7"/>
    <w:rsid w:val="00462AB5"/>
    <w:rsid w:val="00465EAF"/>
    <w:rsid w:val="004738C5"/>
    <w:rsid w:val="004812D0"/>
    <w:rsid w:val="00491046"/>
    <w:rsid w:val="004A2AC7"/>
    <w:rsid w:val="004A6D2F"/>
    <w:rsid w:val="004C2887"/>
    <w:rsid w:val="004D2626"/>
    <w:rsid w:val="004D4EFB"/>
    <w:rsid w:val="004D6E26"/>
    <w:rsid w:val="004D77D3"/>
    <w:rsid w:val="004E09B9"/>
    <w:rsid w:val="004E2959"/>
    <w:rsid w:val="004F20EF"/>
    <w:rsid w:val="0050321C"/>
    <w:rsid w:val="00526259"/>
    <w:rsid w:val="0054712D"/>
    <w:rsid w:val="00547EF6"/>
    <w:rsid w:val="005570B5"/>
    <w:rsid w:val="00567E18"/>
    <w:rsid w:val="00572BAB"/>
    <w:rsid w:val="00575F5F"/>
    <w:rsid w:val="00581805"/>
    <w:rsid w:val="00585F76"/>
    <w:rsid w:val="0059479C"/>
    <w:rsid w:val="005A34E4"/>
    <w:rsid w:val="005B17F2"/>
    <w:rsid w:val="005B7FB0"/>
    <w:rsid w:val="005C35A5"/>
    <w:rsid w:val="005C577C"/>
    <w:rsid w:val="005D0621"/>
    <w:rsid w:val="005D1E27"/>
    <w:rsid w:val="005D2A3E"/>
    <w:rsid w:val="005E022E"/>
    <w:rsid w:val="005E5215"/>
    <w:rsid w:val="005E556B"/>
    <w:rsid w:val="005F7F7E"/>
    <w:rsid w:val="00614693"/>
    <w:rsid w:val="00623C2F"/>
    <w:rsid w:val="00633578"/>
    <w:rsid w:val="00637068"/>
    <w:rsid w:val="00650811"/>
    <w:rsid w:val="00661D3E"/>
    <w:rsid w:val="00692627"/>
    <w:rsid w:val="006969E7"/>
    <w:rsid w:val="006A21A0"/>
    <w:rsid w:val="006A3643"/>
    <w:rsid w:val="006C2A29"/>
    <w:rsid w:val="006C64CF"/>
    <w:rsid w:val="006D17B1"/>
    <w:rsid w:val="006D4752"/>
    <w:rsid w:val="006D708A"/>
    <w:rsid w:val="006E14C1"/>
    <w:rsid w:val="006E4849"/>
    <w:rsid w:val="006F0292"/>
    <w:rsid w:val="006F2357"/>
    <w:rsid w:val="006F27FA"/>
    <w:rsid w:val="006F416B"/>
    <w:rsid w:val="006F519B"/>
    <w:rsid w:val="006F7F0A"/>
    <w:rsid w:val="00713675"/>
    <w:rsid w:val="00715823"/>
    <w:rsid w:val="00737B93"/>
    <w:rsid w:val="00745BF0"/>
    <w:rsid w:val="007615FE"/>
    <w:rsid w:val="0076655C"/>
    <w:rsid w:val="007742DC"/>
    <w:rsid w:val="00791437"/>
    <w:rsid w:val="007B0C2C"/>
    <w:rsid w:val="007B278E"/>
    <w:rsid w:val="007B2D9A"/>
    <w:rsid w:val="007C5C23"/>
    <w:rsid w:val="007D2479"/>
    <w:rsid w:val="007E2A26"/>
    <w:rsid w:val="007E6946"/>
    <w:rsid w:val="007F2348"/>
    <w:rsid w:val="007F7896"/>
    <w:rsid w:val="00803F07"/>
    <w:rsid w:val="0080749A"/>
    <w:rsid w:val="00821FB8"/>
    <w:rsid w:val="00822ACD"/>
    <w:rsid w:val="00850A66"/>
    <w:rsid w:val="00855C66"/>
    <w:rsid w:val="00871EE4"/>
    <w:rsid w:val="008B293F"/>
    <w:rsid w:val="008B53BC"/>
    <w:rsid w:val="008B7371"/>
    <w:rsid w:val="008C4190"/>
    <w:rsid w:val="008C53DA"/>
    <w:rsid w:val="008D1B88"/>
    <w:rsid w:val="008D3DDB"/>
    <w:rsid w:val="008F573F"/>
    <w:rsid w:val="009034EC"/>
    <w:rsid w:val="0093067A"/>
    <w:rsid w:val="00941C60"/>
    <w:rsid w:val="00941FD1"/>
    <w:rsid w:val="009515C4"/>
    <w:rsid w:val="00966D42"/>
    <w:rsid w:val="00971689"/>
    <w:rsid w:val="00973E90"/>
    <w:rsid w:val="00975272"/>
    <w:rsid w:val="00975B07"/>
    <w:rsid w:val="00980B4A"/>
    <w:rsid w:val="0098196B"/>
    <w:rsid w:val="009E3D0A"/>
    <w:rsid w:val="009E51FC"/>
    <w:rsid w:val="009E6922"/>
    <w:rsid w:val="009F05A4"/>
    <w:rsid w:val="009F1D28"/>
    <w:rsid w:val="009F7618"/>
    <w:rsid w:val="00A04D23"/>
    <w:rsid w:val="00A06766"/>
    <w:rsid w:val="00A06AA1"/>
    <w:rsid w:val="00A13765"/>
    <w:rsid w:val="00A21B12"/>
    <w:rsid w:val="00A2380B"/>
    <w:rsid w:val="00A23F80"/>
    <w:rsid w:val="00A37F13"/>
    <w:rsid w:val="00A46E98"/>
    <w:rsid w:val="00A6352B"/>
    <w:rsid w:val="00A701B5"/>
    <w:rsid w:val="00A714BB"/>
    <w:rsid w:val="00A77147"/>
    <w:rsid w:val="00A84C9D"/>
    <w:rsid w:val="00A92D8F"/>
    <w:rsid w:val="00AB2988"/>
    <w:rsid w:val="00AB337F"/>
    <w:rsid w:val="00AB7999"/>
    <w:rsid w:val="00AC4D0B"/>
    <w:rsid w:val="00AD3292"/>
    <w:rsid w:val="00AE126B"/>
    <w:rsid w:val="00AE7AF0"/>
    <w:rsid w:val="00B13352"/>
    <w:rsid w:val="00B500CA"/>
    <w:rsid w:val="00B86314"/>
    <w:rsid w:val="00BA1C2E"/>
    <w:rsid w:val="00BC200B"/>
    <w:rsid w:val="00BC4756"/>
    <w:rsid w:val="00BC69A4"/>
    <w:rsid w:val="00BE0680"/>
    <w:rsid w:val="00BE1459"/>
    <w:rsid w:val="00BE305F"/>
    <w:rsid w:val="00BE7BA3"/>
    <w:rsid w:val="00BF5682"/>
    <w:rsid w:val="00BF7B09"/>
    <w:rsid w:val="00C1307C"/>
    <w:rsid w:val="00C20A95"/>
    <w:rsid w:val="00C2692F"/>
    <w:rsid w:val="00C3207C"/>
    <w:rsid w:val="00C400E1"/>
    <w:rsid w:val="00C41187"/>
    <w:rsid w:val="00C51401"/>
    <w:rsid w:val="00C63C31"/>
    <w:rsid w:val="00C677B4"/>
    <w:rsid w:val="00C757A0"/>
    <w:rsid w:val="00C760DE"/>
    <w:rsid w:val="00C82630"/>
    <w:rsid w:val="00C85B4E"/>
    <w:rsid w:val="00C907F7"/>
    <w:rsid w:val="00CA059B"/>
    <w:rsid w:val="00CA2103"/>
    <w:rsid w:val="00CB6B99"/>
    <w:rsid w:val="00CC5496"/>
    <w:rsid w:val="00CE4C87"/>
    <w:rsid w:val="00CE544A"/>
    <w:rsid w:val="00D11E1C"/>
    <w:rsid w:val="00D160B0"/>
    <w:rsid w:val="00D17F94"/>
    <w:rsid w:val="00D223FC"/>
    <w:rsid w:val="00D26D1E"/>
    <w:rsid w:val="00D45258"/>
    <w:rsid w:val="00D474CF"/>
    <w:rsid w:val="00D47708"/>
    <w:rsid w:val="00D5547E"/>
    <w:rsid w:val="00D76297"/>
    <w:rsid w:val="00D77A19"/>
    <w:rsid w:val="00D860E2"/>
    <w:rsid w:val="00D869A1"/>
    <w:rsid w:val="00D94CA3"/>
    <w:rsid w:val="00DA3B9B"/>
    <w:rsid w:val="00DA413F"/>
    <w:rsid w:val="00DA4584"/>
    <w:rsid w:val="00DA614B"/>
    <w:rsid w:val="00DB7AD7"/>
    <w:rsid w:val="00DC3060"/>
    <w:rsid w:val="00DE0FB2"/>
    <w:rsid w:val="00DF093E"/>
    <w:rsid w:val="00E01F42"/>
    <w:rsid w:val="00E206D6"/>
    <w:rsid w:val="00E3366E"/>
    <w:rsid w:val="00E45A96"/>
    <w:rsid w:val="00E52086"/>
    <w:rsid w:val="00E543A6"/>
    <w:rsid w:val="00E60479"/>
    <w:rsid w:val="00E61D73"/>
    <w:rsid w:val="00E73684"/>
    <w:rsid w:val="00E818D6"/>
    <w:rsid w:val="00E8297C"/>
    <w:rsid w:val="00E87F7A"/>
    <w:rsid w:val="00E94B3E"/>
    <w:rsid w:val="00E96BD7"/>
    <w:rsid w:val="00EA0DB1"/>
    <w:rsid w:val="00EA0EE9"/>
    <w:rsid w:val="00ED52CA"/>
    <w:rsid w:val="00ED5860"/>
    <w:rsid w:val="00EE35C9"/>
    <w:rsid w:val="00EF4E55"/>
    <w:rsid w:val="00F05ECA"/>
    <w:rsid w:val="00F164E5"/>
    <w:rsid w:val="00F3566E"/>
    <w:rsid w:val="00F375FB"/>
    <w:rsid w:val="00F41AC1"/>
    <w:rsid w:val="00F4367A"/>
    <w:rsid w:val="00F445B1"/>
    <w:rsid w:val="00F45CD4"/>
    <w:rsid w:val="00F60CE5"/>
    <w:rsid w:val="00F66DCA"/>
    <w:rsid w:val="00F74F53"/>
    <w:rsid w:val="00F7606D"/>
    <w:rsid w:val="00F81670"/>
    <w:rsid w:val="00F82024"/>
    <w:rsid w:val="00F95BC9"/>
    <w:rsid w:val="00FA624C"/>
    <w:rsid w:val="00FD0FAC"/>
    <w:rsid w:val="00FD1DFA"/>
    <w:rsid w:val="00FD4966"/>
    <w:rsid w:val="00FE200A"/>
    <w:rsid w:val="00FE57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E4983B58-F19E-4A15-979D-52C28E90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5935111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66461298">
      <w:bodyDiv w:val="1"/>
      <w:marLeft w:val="0"/>
      <w:marRight w:val="0"/>
      <w:marTop w:val="0"/>
      <w:marBottom w:val="0"/>
      <w:divBdr>
        <w:top w:val="none" w:sz="0" w:space="0" w:color="auto"/>
        <w:left w:val="none" w:sz="0" w:space="0" w:color="auto"/>
        <w:bottom w:val="none" w:sz="0" w:space="0" w:color="auto"/>
        <w:right w:val="none" w:sz="0" w:space="0" w:color="auto"/>
      </w:divBdr>
    </w:div>
    <w:div w:id="2009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D8A59-AF51-450C-9A77-6D788D4A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5F545B2F</Template>
  <TotalTime>3</TotalTime>
  <Pages>4</Pages>
  <Words>1677</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aford</dc:creator>
  <cp:lastModifiedBy>MITCHELL John</cp:lastModifiedBy>
  <cp:revision>4</cp:revision>
  <cp:lastPrinted>2015-07-03T12:50:00Z</cp:lastPrinted>
  <dcterms:created xsi:type="dcterms:W3CDTF">2020-10-05T11:13:00Z</dcterms:created>
  <dcterms:modified xsi:type="dcterms:W3CDTF">2020-10-06T08:51:00Z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