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:rsidTr="005F7F7E">
        <w:tc>
          <w:tcPr>
            <w:tcW w:w="2438" w:type="dxa"/>
            <w:shd w:val="clear" w:color="auto" w:fill="auto"/>
          </w:tcPr>
          <w:p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:rsidR="00F445B1" w:rsidRPr="00F95BC9" w:rsidRDefault="003641AD" w:rsidP="0047131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General Purposes Licensing</w:t>
            </w:r>
            <w:r w:rsidR="004D481B">
              <w:rPr>
                <w:rStyle w:val="Firstpagetablebold"/>
              </w:rPr>
              <w:t xml:space="preserve"> </w:t>
            </w:r>
            <w:r w:rsidR="008A43AA">
              <w:rPr>
                <w:rStyle w:val="Firstpagetablebold"/>
              </w:rPr>
              <w:t>Committee</w:t>
            </w:r>
          </w:p>
        </w:tc>
      </w:tr>
      <w:tr w:rsidR="00CE544A" w:rsidRPr="00975B07" w:rsidTr="005F7F7E">
        <w:tc>
          <w:tcPr>
            <w:tcW w:w="2438" w:type="dxa"/>
            <w:shd w:val="clear" w:color="auto" w:fill="auto"/>
          </w:tcPr>
          <w:p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:rsidR="00F445B1" w:rsidRPr="001356F1" w:rsidRDefault="00331A65" w:rsidP="00331A65">
            <w:pPr>
              <w:rPr>
                <w:b/>
              </w:rPr>
            </w:pPr>
            <w:r>
              <w:rPr>
                <w:rStyle w:val="Firstpagetablebold"/>
              </w:rPr>
              <w:t>21 May 2020</w:t>
            </w:r>
          </w:p>
        </w:tc>
      </w:tr>
      <w:tr w:rsidR="00CE544A" w:rsidRPr="00975B07" w:rsidTr="005F7F7E">
        <w:tc>
          <w:tcPr>
            <w:tcW w:w="2438" w:type="dxa"/>
            <w:shd w:val="clear" w:color="auto" w:fill="auto"/>
          </w:tcPr>
          <w:p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:rsidR="00F445B1" w:rsidRPr="001356F1" w:rsidRDefault="003641AD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Head of Law and Governance</w:t>
            </w:r>
          </w:p>
        </w:tc>
      </w:tr>
      <w:tr w:rsidR="00CE544A" w:rsidRPr="00975B07" w:rsidTr="005F7F7E">
        <w:tc>
          <w:tcPr>
            <w:tcW w:w="2438" w:type="dxa"/>
            <w:shd w:val="clear" w:color="auto" w:fill="auto"/>
          </w:tcPr>
          <w:p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:rsidR="00F445B1" w:rsidRPr="001356F1" w:rsidRDefault="003641AD" w:rsidP="003641AD">
            <w:pPr>
              <w:rPr>
                <w:rStyle w:val="Firstpagetablebold"/>
              </w:rPr>
            </w:pPr>
            <w:r w:rsidRPr="008E546D">
              <w:rPr>
                <w:rStyle w:val="Firstpagetablebold"/>
                <w:color w:val="auto"/>
              </w:rPr>
              <w:t>Appointment of General P</w:t>
            </w:r>
            <w:r w:rsidR="008E546D">
              <w:rPr>
                <w:rStyle w:val="Firstpagetablebold"/>
                <w:color w:val="auto"/>
              </w:rPr>
              <w:t>urpose Licensing</w:t>
            </w:r>
            <w:r w:rsidRPr="008E546D">
              <w:rPr>
                <w:rStyle w:val="Firstpagetablebold"/>
                <w:color w:val="auto"/>
              </w:rPr>
              <w:t xml:space="preserve"> Sub-Committees</w:t>
            </w:r>
            <w:r w:rsidR="00F445B1" w:rsidRPr="003641AD">
              <w:rPr>
                <w:rStyle w:val="Firstpagetablebold"/>
                <w:color w:val="FF0000"/>
              </w:rPr>
              <w:t xml:space="preserve"> </w:t>
            </w:r>
          </w:p>
        </w:tc>
      </w:tr>
    </w:tbl>
    <w:p w:rsidR="004F20EF" w:rsidRDefault="004F20EF" w:rsidP="004A6D2F"/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  <w:gridCol w:w="6095"/>
      </w:tblGrid>
      <w:tr w:rsidR="00D5547E" w:rsidTr="00C44BA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:rsidTr="00C44BAE">
        <w:trPr>
          <w:trHeight w:val="8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  <w:p w:rsidR="00471319" w:rsidRDefault="00471319">
            <w:pPr>
              <w:rPr>
                <w:rStyle w:val="Firstpagetablebol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1319" w:rsidRPr="001356F1" w:rsidRDefault="003641AD" w:rsidP="000F4751">
            <w:r w:rsidRPr="003641AD">
              <w:t>To establi</w:t>
            </w:r>
            <w:r w:rsidR="00331A65">
              <w:t>sh 4 sub-committees for the 2020-21</w:t>
            </w:r>
            <w:r w:rsidRPr="003641AD">
              <w:t xml:space="preserve"> Council Year to deal with the casework flowing from the Committee’s own responsibilities.</w:t>
            </w:r>
          </w:p>
        </w:tc>
      </w:tr>
      <w:tr w:rsidR="00471319" w:rsidTr="00C44BAE">
        <w:trPr>
          <w:trHeight w:val="53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19" w:rsidRDefault="0047131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03" w:rsidRPr="001356F1" w:rsidRDefault="00331A65" w:rsidP="000F4751">
            <w:r>
              <w:t>N</w:t>
            </w:r>
            <w:r w:rsidR="003641AD">
              <w:t>one</w:t>
            </w:r>
          </w:p>
        </w:tc>
      </w:tr>
      <w:tr w:rsidR="00D57F03" w:rsidTr="00C44BAE">
        <w:trPr>
          <w:trHeight w:val="53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03" w:rsidRDefault="00D57F0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03" w:rsidRDefault="00331A65" w:rsidP="00D57F03">
            <w:r>
              <w:t>N</w:t>
            </w:r>
            <w:r w:rsidR="003641AD">
              <w:t>one</w:t>
            </w:r>
          </w:p>
        </w:tc>
      </w:tr>
      <w:tr w:rsidR="005F7F7E" w:rsidRPr="00975B07" w:rsidTr="00BD370E">
        <w:trPr>
          <w:trHeight w:val="413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5F7F7E" w:rsidRPr="00975B07" w:rsidRDefault="00BD370E" w:rsidP="00C44BAE">
            <w:r>
              <w:rPr>
                <w:rStyle w:val="Firstpagetablebold"/>
              </w:rPr>
              <w:t>Recommendations</w:t>
            </w:r>
            <w:r w:rsidR="005F7F7E">
              <w:rPr>
                <w:rStyle w:val="Firstpagetablebold"/>
              </w:rPr>
              <w:t>:</w:t>
            </w:r>
            <w:r>
              <w:rPr>
                <w:rStyle w:val="Firstpagetablebold"/>
              </w:rPr>
              <w:t xml:space="preserve"> </w:t>
            </w:r>
            <w:r w:rsidR="005F7F7E" w:rsidRPr="008A43AA">
              <w:rPr>
                <w:rStyle w:val="Firstpagetablebold"/>
                <w:b w:val="0"/>
              </w:rPr>
              <w:t>That the</w:t>
            </w:r>
            <w:r w:rsidR="008A43AA" w:rsidRPr="008A43AA">
              <w:rPr>
                <w:rStyle w:val="Firstpagetablebold"/>
                <w:b w:val="0"/>
              </w:rPr>
              <w:t xml:space="preserve"> </w:t>
            </w:r>
            <w:r w:rsidR="003641AD" w:rsidRPr="003641AD">
              <w:rPr>
                <w:rStyle w:val="Firstpagetablebold"/>
                <w:b w:val="0"/>
              </w:rPr>
              <w:t>General Purposes Licensing</w:t>
            </w:r>
            <w:r w:rsidR="005F7F7E" w:rsidRPr="008A43AA">
              <w:rPr>
                <w:rStyle w:val="Firstpagetablebold"/>
                <w:b w:val="0"/>
              </w:rPr>
              <w:t xml:space="preserve"> </w:t>
            </w:r>
            <w:r w:rsidR="008A43AA" w:rsidRPr="008A43AA">
              <w:rPr>
                <w:rStyle w:val="Firstpagetablebold"/>
                <w:b w:val="0"/>
              </w:rPr>
              <w:t xml:space="preserve">Committee </w:t>
            </w:r>
            <w:r w:rsidR="005F7F7E" w:rsidRPr="008A43AA">
              <w:rPr>
                <w:rStyle w:val="Firstpagetablebold"/>
                <w:b w:val="0"/>
              </w:rPr>
              <w:t>resolves to:</w:t>
            </w:r>
          </w:p>
        </w:tc>
      </w:tr>
      <w:tr w:rsidR="00D623A5" w:rsidRPr="00975B07" w:rsidTr="00BD370E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23A5" w:rsidRPr="00975B07" w:rsidRDefault="00BD370E" w:rsidP="00D623A5">
            <w:r>
              <w:t>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23A5" w:rsidRPr="00A668B8" w:rsidRDefault="00D623A5" w:rsidP="00D96242">
            <w:pPr>
              <w:rPr>
                <w:rStyle w:val="Firstpagetablebold"/>
              </w:rPr>
            </w:pPr>
            <w:r w:rsidRPr="00BD370E">
              <w:rPr>
                <w:rStyle w:val="Firstpagetablebold"/>
                <w:color w:val="auto"/>
              </w:rPr>
              <w:t>Agree</w:t>
            </w:r>
            <w:r w:rsidRPr="00A668B8">
              <w:rPr>
                <w:rStyle w:val="Firstpagetablebold"/>
                <w:b w:val="0"/>
                <w:color w:val="auto"/>
              </w:rPr>
              <w:t xml:space="preserve"> that the casework</w:t>
            </w:r>
            <w:r w:rsidR="00A668B8" w:rsidRPr="00A668B8">
              <w:rPr>
                <w:rStyle w:val="Firstpagetablebold"/>
                <w:b w:val="0"/>
                <w:color w:val="auto"/>
              </w:rPr>
              <w:t xml:space="preserve"> hearings</w:t>
            </w:r>
            <w:r w:rsidRPr="00A668B8">
              <w:rPr>
                <w:rStyle w:val="Firstpagetablebold"/>
                <w:b w:val="0"/>
                <w:color w:val="auto"/>
              </w:rPr>
              <w:t xml:space="preserve"> for</w:t>
            </w:r>
            <w:r w:rsidRPr="00A668B8">
              <w:rPr>
                <w:rStyle w:val="Firstpagetablebold"/>
                <w:color w:val="auto"/>
              </w:rPr>
              <w:t xml:space="preserve"> </w:t>
            </w:r>
            <w:r w:rsidR="00A668B8" w:rsidRPr="00A668B8">
              <w:rPr>
                <w:rFonts w:cs="Arial"/>
                <w:color w:val="auto"/>
              </w:rPr>
              <w:t xml:space="preserve">taxi, private hire or other driver or vehicle licences, </w:t>
            </w:r>
            <w:r w:rsidRPr="00A668B8">
              <w:rPr>
                <w:rStyle w:val="Firstpagetablebold"/>
                <w:b w:val="0"/>
                <w:color w:val="auto"/>
              </w:rPr>
              <w:t xml:space="preserve">street trading </w:t>
            </w:r>
            <w:r w:rsidR="00A668B8" w:rsidRPr="00A668B8">
              <w:rPr>
                <w:rStyle w:val="Firstpagetablebold"/>
                <w:b w:val="0"/>
                <w:color w:val="auto"/>
              </w:rPr>
              <w:t xml:space="preserve">licences </w:t>
            </w:r>
            <w:r w:rsidRPr="00A668B8">
              <w:rPr>
                <w:rStyle w:val="Firstpagetablebold"/>
                <w:b w:val="0"/>
                <w:color w:val="auto"/>
              </w:rPr>
              <w:t xml:space="preserve">and sex </w:t>
            </w:r>
            <w:r w:rsidR="00A668B8" w:rsidRPr="00A668B8">
              <w:rPr>
                <w:rStyle w:val="Firstpagetablebold"/>
                <w:b w:val="0"/>
                <w:color w:val="auto"/>
              </w:rPr>
              <w:t xml:space="preserve">establishment licences </w:t>
            </w:r>
            <w:r w:rsidRPr="00A668B8">
              <w:rPr>
                <w:rStyle w:val="Firstpagetablebold"/>
                <w:b w:val="0"/>
                <w:color w:val="auto"/>
              </w:rPr>
              <w:t>should be determined by sub-committee</w:t>
            </w:r>
            <w:r w:rsidR="00A668B8" w:rsidRPr="00A668B8">
              <w:rPr>
                <w:rStyle w:val="Firstpagetablebold"/>
                <w:b w:val="0"/>
                <w:color w:val="auto"/>
              </w:rPr>
              <w:t>s</w:t>
            </w:r>
            <w:r w:rsidRPr="00A668B8">
              <w:rPr>
                <w:rStyle w:val="Firstpagetablebold"/>
                <w:b w:val="0"/>
                <w:color w:val="auto"/>
              </w:rPr>
              <w:t xml:space="preserve"> </w:t>
            </w:r>
            <w:r w:rsidR="00716A1B">
              <w:rPr>
                <w:rStyle w:val="Firstpagetablebold"/>
                <w:b w:val="0"/>
                <w:color w:val="auto"/>
              </w:rPr>
              <w:t>on the basis of</w:t>
            </w:r>
            <w:r w:rsidRPr="00A668B8">
              <w:rPr>
                <w:rStyle w:val="Firstpagetablebold"/>
                <w:b w:val="0"/>
                <w:color w:val="auto"/>
              </w:rPr>
              <w:t xml:space="preserve"> the</w:t>
            </w:r>
            <w:r w:rsidRPr="00A668B8">
              <w:rPr>
                <w:rStyle w:val="Firstpagetablebold"/>
                <w:color w:val="auto"/>
              </w:rPr>
              <w:t xml:space="preserve"> </w:t>
            </w:r>
            <w:r w:rsidR="00A668B8" w:rsidRPr="00A668B8">
              <w:rPr>
                <w:color w:val="auto"/>
              </w:rPr>
              <w:t>Powers and Duties of GPL Sub-Committees at</w:t>
            </w:r>
            <w:r w:rsidRPr="00A668B8">
              <w:rPr>
                <w:rStyle w:val="Firstpagetablebold"/>
                <w:color w:val="auto"/>
              </w:rPr>
              <w:t xml:space="preserve"> </w:t>
            </w:r>
            <w:r w:rsidRPr="00A668B8">
              <w:rPr>
                <w:rStyle w:val="Firstpagetablebold"/>
                <w:b w:val="0"/>
                <w:color w:val="auto"/>
              </w:rPr>
              <w:t>Appendix 1</w:t>
            </w:r>
            <w:r w:rsidR="00A668B8" w:rsidRPr="00A668B8">
              <w:rPr>
                <w:rStyle w:val="Firstpagetablebold"/>
                <w:b w:val="0"/>
                <w:color w:val="auto"/>
              </w:rPr>
              <w:t>.</w:t>
            </w:r>
          </w:p>
        </w:tc>
      </w:tr>
      <w:tr w:rsidR="0030208D" w:rsidRPr="00975B07" w:rsidTr="00BD370E"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08D" w:rsidRPr="00975B07" w:rsidRDefault="00BD370E" w:rsidP="004A6D2F">
            <w:r>
              <w:t>2</w:t>
            </w:r>
            <w:r w:rsidR="00046D2B" w:rsidRPr="00975B07">
              <w:t>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A1B" w:rsidRDefault="003641AD" w:rsidP="003641AD">
            <w:pPr>
              <w:rPr>
                <w:rStyle w:val="Firstpagetablebold"/>
                <w:b w:val="0"/>
              </w:rPr>
            </w:pPr>
            <w:r>
              <w:rPr>
                <w:rStyle w:val="Firstpagetablebold"/>
              </w:rPr>
              <w:t>E</w:t>
            </w:r>
            <w:r w:rsidRPr="003641AD">
              <w:rPr>
                <w:rStyle w:val="Firstpagetablebold"/>
              </w:rPr>
              <w:t xml:space="preserve">stablish </w:t>
            </w:r>
            <w:r w:rsidRPr="003641AD">
              <w:rPr>
                <w:rStyle w:val="Firstpagetablebold"/>
                <w:b w:val="0"/>
              </w:rPr>
              <w:t>4 politica</w:t>
            </w:r>
            <w:r w:rsidR="00716A1B">
              <w:rPr>
                <w:rStyle w:val="Firstpagetablebold"/>
                <w:b w:val="0"/>
              </w:rPr>
              <w:t>lly-balanced sub-committees of 3</w:t>
            </w:r>
            <w:r w:rsidRPr="003641AD">
              <w:rPr>
                <w:rStyle w:val="Firstpagetablebold"/>
                <w:b w:val="0"/>
              </w:rPr>
              <w:t xml:space="preserve"> members</w:t>
            </w:r>
            <w:r w:rsidR="001A02BF">
              <w:rPr>
                <w:rStyle w:val="Firstpagetablebold"/>
                <w:b w:val="0"/>
              </w:rPr>
              <w:t>,</w:t>
            </w:r>
            <w:r w:rsidRPr="003641AD">
              <w:rPr>
                <w:rStyle w:val="Firstpagetablebold"/>
                <w:b w:val="0"/>
              </w:rPr>
              <w:t xml:space="preserve"> </w:t>
            </w:r>
            <w:r w:rsidR="001A02BF">
              <w:rPr>
                <w:rStyle w:val="Firstpagetablebold"/>
                <w:b w:val="0"/>
              </w:rPr>
              <w:t xml:space="preserve">and </w:t>
            </w:r>
          </w:p>
          <w:p w:rsidR="0030208D" w:rsidRDefault="001A02BF" w:rsidP="003641AD">
            <w:pPr>
              <w:rPr>
                <w:rStyle w:val="Firstpagetablebold"/>
                <w:b w:val="0"/>
              </w:rPr>
            </w:pPr>
            <w:r w:rsidRPr="00716A1B">
              <w:rPr>
                <w:rStyle w:val="Firstpagetablebold"/>
              </w:rPr>
              <w:t>agree</w:t>
            </w:r>
            <w:r>
              <w:rPr>
                <w:rStyle w:val="Firstpagetablebold"/>
                <w:b w:val="0"/>
              </w:rPr>
              <w:t xml:space="preserve"> the membership, </w:t>
            </w:r>
            <w:r w:rsidR="003641AD" w:rsidRPr="003641AD">
              <w:rPr>
                <w:rStyle w:val="Firstpagetablebold"/>
                <w:b w:val="0"/>
              </w:rPr>
              <w:t>each</w:t>
            </w:r>
            <w:r w:rsidR="00B70D0C">
              <w:rPr>
                <w:rStyle w:val="Firstpagetablebold"/>
                <w:b w:val="0"/>
              </w:rPr>
              <w:t xml:space="preserve"> t</w:t>
            </w:r>
            <w:r w:rsidR="00B70D0C" w:rsidRPr="003641AD">
              <w:rPr>
                <w:rStyle w:val="Firstpagetablebold"/>
                <w:b w:val="0"/>
              </w:rPr>
              <w:t>o undertake the casework of the G</w:t>
            </w:r>
            <w:r w:rsidR="00B70D0C">
              <w:rPr>
                <w:rStyle w:val="Firstpagetablebold"/>
                <w:b w:val="0"/>
              </w:rPr>
              <w:t xml:space="preserve">eneral </w:t>
            </w:r>
            <w:r w:rsidR="00B70D0C" w:rsidRPr="003641AD">
              <w:rPr>
                <w:rStyle w:val="Firstpagetablebold"/>
                <w:b w:val="0"/>
              </w:rPr>
              <w:t>P</w:t>
            </w:r>
            <w:r w:rsidR="00B70D0C">
              <w:rPr>
                <w:rStyle w:val="Firstpagetablebold"/>
                <w:b w:val="0"/>
              </w:rPr>
              <w:t xml:space="preserve">urposes </w:t>
            </w:r>
            <w:r w:rsidR="00B70D0C" w:rsidRPr="003641AD">
              <w:rPr>
                <w:rStyle w:val="Firstpagetablebold"/>
                <w:b w:val="0"/>
              </w:rPr>
              <w:t>L</w:t>
            </w:r>
            <w:r w:rsidR="00B70D0C">
              <w:rPr>
                <w:rStyle w:val="Firstpagetablebold"/>
                <w:b w:val="0"/>
              </w:rPr>
              <w:t>icensing Committee</w:t>
            </w:r>
            <w:r w:rsidR="00B70D0C" w:rsidRPr="003641AD">
              <w:rPr>
                <w:rStyle w:val="Firstpagetablebold"/>
                <w:b w:val="0"/>
              </w:rPr>
              <w:t xml:space="preserve"> as set out in Appendix </w:t>
            </w:r>
            <w:r w:rsidR="00B70D0C">
              <w:rPr>
                <w:rStyle w:val="Firstpagetablebold"/>
                <w:b w:val="0"/>
              </w:rPr>
              <w:t>1</w:t>
            </w:r>
            <w:r w:rsidR="003641AD" w:rsidRPr="003641AD">
              <w:rPr>
                <w:rStyle w:val="Firstpagetablebold"/>
                <w:b w:val="0"/>
              </w:rPr>
              <w:t>:</w:t>
            </w:r>
          </w:p>
          <w:p w:rsidR="003641AD" w:rsidRPr="00B70D0C" w:rsidRDefault="003641AD" w:rsidP="00B70D0C">
            <w:pPr>
              <w:pStyle w:val="ListParagraph"/>
              <w:numPr>
                <w:ilvl w:val="0"/>
                <w:numId w:val="43"/>
              </w:numPr>
              <w:rPr>
                <w:rStyle w:val="Firstpagetablebold"/>
                <w:b w:val="0"/>
              </w:rPr>
            </w:pPr>
            <w:r w:rsidRPr="00B70D0C">
              <w:rPr>
                <w:rStyle w:val="Firstpagetablebold"/>
                <w:b w:val="0"/>
              </w:rPr>
              <w:t xml:space="preserve">Sub- Committee A: </w:t>
            </w:r>
            <w:r w:rsidR="00887493" w:rsidRPr="00B70D0C">
              <w:rPr>
                <w:rStyle w:val="Firstpagetablebold"/>
                <w:b w:val="0"/>
              </w:rPr>
              <w:t xml:space="preserve">GPL </w:t>
            </w:r>
            <w:r w:rsidRPr="00B70D0C">
              <w:rPr>
                <w:rStyle w:val="Firstpagetablebold"/>
                <w:b w:val="0"/>
              </w:rPr>
              <w:t xml:space="preserve">Chair, </w:t>
            </w:r>
            <w:r w:rsidR="00887493" w:rsidRPr="00B70D0C">
              <w:rPr>
                <w:rStyle w:val="Firstpagetablebold"/>
                <w:b w:val="0"/>
              </w:rPr>
              <w:t xml:space="preserve">Labour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 xml:space="preserve">A, Lib Dem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>A</w:t>
            </w:r>
          </w:p>
          <w:p w:rsidR="003641AD" w:rsidRPr="00B70D0C" w:rsidRDefault="003641AD" w:rsidP="00B70D0C">
            <w:pPr>
              <w:pStyle w:val="ListParagraph"/>
              <w:numPr>
                <w:ilvl w:val="0"/>
                <w:numId w:val="43"/>
              </w:numPr>
              <w:rPr>
                <w:rStyle w:val="Firstpagetablebold"/>
                <w:b w:val="0"/>
              </w:rPr>
            </w:pPr>
            <w:r w:rsidRPr="00B70D0C">
              <w:rPr>
                <w:rStyle w:val="Firstpagetablebold"/>
                <w:b w:val="0"/>
              </w:rPr>
              <w:t xml:space="preserve">Sub- Committee B: </w:t>
            </w:r>
            <w:r w:rsidR="00887493" w:rsidRPr="00B70D0C">
              <w:rPr>
                <w:rStyle w:val="Firstpagetablebold"/>
                <w:b w:val="0"/>
              </w:rPr>
              <w:t xml:space="preserve">GPL </w:t>
            </w:r>
            <w:r w:rsidRPr="00B70D0C">
              <w:rPr>
                <w:rStyle w:val="Firstpagetablebold"/>
                <w:b w:val="0"/>
              </w:rPr>
              <w:t xml:space="preserve">Vice Chair, </w:t>
            </w:r>
            <w:r w:rsidR="00887493" w:rsidRPr="00B70D0C">
              <w:rPr>
                <w:rStyle w:val="Firstpagetablebold"/>
                <w:b w:val="0"/>
              </w:rPr>
              <w:t xml:space="preserve">Labour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 xml:space="preserve">B, Lib Dem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>B</w:t>
            </w:r>
          </w:p>
          <w:p w:rsidR="003641AD" w:rsidRPr="00B70D0C" w:rsidRDefault="003641AD" w:rsidP="00B70D0C">
            <w:pPr>
              <w:pStyle w:val="ListParagraph"/>
              <w:numPr>
                <w:ilvl w:val="0"/>
                <w:numId w:val="43"/>
              </w:numPr>
              <w:rPr>
                <w:rStyle w:val="Firstpagetablebold"/>
                <w:b w:val="0"/>
              </w:rPr>
            </w:pPr>
            <w:r w:rsidRPr="00B70D0C">
              <w:rPr>
                <w:rStyle w:val="Firstpagetablebold"/>
                <w:b w:val="0"/>
              </w:rPr>
              <w:t xml:space="preserve">Sub- Committee C: </w:t>
            </w:r>
            <w:r w:rsidR="00716A1B">
              <w:rPr>
                <w:rStyle w:val="Firstpagetablebold"/>
                <w:b w:val="0"/>
              </w:rPr>
              <w:t>GP</w:t>
            </w:r>
            <w:r w:rsidR="00887493" w:rsidRPr="00B70D0C">
              <w:rPr>
                <w:rStyle w:val="Firstpagetablebold"/>
                <w:b w:val="0"/>
              </w:rPr>
              <w:t xml:space="preserve">L </w:t>
            </w:r>
            <w:r w:rsidRPr="00B70D0C">
              <w:rPr>
                <w:rStyle w:val="Firstpagetablebold"/>
                <w:b w:val="0"/>
              </w:rPr>
              <w:t xml:space="preserve">Chair, </w:t>
            </w:r>
            <w:r w:rsidR="00887493" w:rsidRPr="00B70D0C">
              <w:rPr>
                <w:rStyle w:val="Firstpagetablebold"/>
                <w:b w:val="0"/>
              </w:rPr>
              <w:t xml:space="preserve">Labour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 xml:space="preserve">C, Lib Dem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>A</w:t>
            </w:r>
          </w:p>
          <w:p w:rsidR="003641AD" w:rsidRPr="001356F1" w:rsidRDefault="003641AD" w:rsidP="00B70D0C">
            <w:pPr>
              <w:pStyle w:val="ListParagraph"/>
              <w:numPr>
                <w:ilvl w:val="0"/>
                <w:numId w:val="43"/>
              </w:numPr>
            </w:pPr>
            <w:r w:rsidRPr="00B70D0C">
              <w:rPr>
                <w:rStyle w:val="Firstpagetablebold"/>
                <w:b w:val="0"/>
              </w:rPr>
              <w:t xml:space="preserve"> Sub- Committee D: </w:t>
            </w:r>
            <w:r w:rsidR="00887493" w:rsidRPr="00B70D0C">
              <w:rPr>
                <w:rStyle w:val="Firstpagetablebold"/>
                <w:b w:val="0"/>
              </w:rPr>
              <w:t xml:space="preserve">GPL </w:t>
            </w:r>
            <w:r w:rsidRPr="00B70D0C">
              <w:rPr>
                <w:rStyle w:val="Firstpagetablebold"/>
                <w:b w:val="0"/>
              </w:rPr>
              <w:t>Vice Chair</w:t>
            </w:r>
            <w:r w:rsidR="00887493" w:rsidRPr="00B70D0C">
              <w:rPr>
                <w:rStyle w:val="Firstpagetablebold"/>
                <w:b w:val="0"/>
              </w:rPr>
              <w:t xml:space="preserve">, Labour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 xml:space="preserve">D, Lib Dem </w:t>
            </w:r>
            <w:r w:rsidR="00B70D0C" w:rsidRPr="00B70D0C">
              <w:rPr>
                <w:rStyle w:val="Firstpagetablebold"/>
                <w:b w:val="0"/>
              </w:rPr>
              <w:t xml:space="preserve">Cllr </w:t>
            </w:r>
            <w:r w:rsidR="00887493" w:rsidRPr="00B70D0C">
              <w:rPr>
                <w:rStyle w:val="Firstpagetablebold"/>
                <w:b w:val="0"/>
              </w:rPr>
              <w:t>B</w:t>
            </w:r>
          </w:p>
        </w:tc>
      </w:tr>
      <w:tr w:rsidR="00232F5B" w:rsidRPr="00975B07" w:rsidTr="00BD370E">
        <w:trPr>
          <w:trHeight w:val="4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08D" w:rsidRPr="00975B07" w:rsidRDefault="00BD370E" w:rsidP="004A6D2F">
            <w:r>
              <w:t>3</w:t>
            </w:r>
            <w:r w:rsidR="00046D2B" w:rsidRPr="00975B07">
              <w:t>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08D" w:rsidRPr="003641AD" w:rsidRDefault="005A5C51" w:rsidP="00B70D0C">
            <w:pPr>
              <w:rPr>
                <w:b/>
              </w:rPr>
            </w:pPr>
            <w:r>
              <w:rPr>
                <w:rStyle w:val="Firstpagetablebold"/>
              </w:rPr>
              <w:t>A</w:t>
            </w:r>
            <w:r w:rsidR="003641AD" w:rsidRPr="003641AD">
              <w:rPr>
                <w:rStyle w:val="Firstpagetablebold"/>
              </w:rPr>
              <w:t>gree</w:t>
            </w:r>
            <w:r w:rsidR="003641AD" w:rsidRPr="003641AD">
              <w:rPr>
                <w:rStyle w:val="Firstpagetablebold"/>
                <w:b w:val="0"/>
              </w:rPr>
              <w:t xml:space="preserve"> that substitution is permitted on each </w:t>
            </w:r>
            <w:r w:rsidR="00B70D0C">
              <w:rPr>
                <w:rStyle w:val="Firstpagetablebold"/>
                <w:b w:val="0"/>
              </w:rPr>
              <w:t xml:space="preserve">of the </w:t>
            </w:r>
            <w:r w:rsidR="003641AD" w:rsidRPr="003641AD">
              <w:rPr>
                <w:rStyle w:val="Firstpagetablebold"/>
                <w:b w:val="0"/>
              </w:rPr>
              <w:t>4 sub-committees but that substitutes must be from the General Purposes Licensing Committee</w:t>
            </w:r>
            <w:r w:rsidR="00887493">
              <w:rPr>
                <w:rStyle w:val="Firstpagetablebold"/>
                <w:b w:val="0"/>
              </w:rPr>
              <w:t xml:space="preserve"> </w:t>
            </w:r>
            <w:r w:rsidR="00B70D0C">
              <w:rPr>
                <w:rStyle w:val="Firstpagetablebold"/>
                <w:b w:val="0"/>
              </w:rPr>
              <w:t>and</w:t>
            </w:r>
            <w:r w:rsidR="00887493">
              <w:rPr>
                <w:rStyle w:val="Firstpagetablebold"/>
                <w:b w:val="0"/>
              </w:rPr>
              <w:t xml:space="preserve"> must maintain political proportionality</w:t>
            </w:r>
            <w:r w:rsidR="003641AD" w:rsidRPr="003641AD">
              <w:rPr>
                <w:rStyle w:val="Firstpagetablebold"/>
                <w:b w:val="0"/>
              </w:rPr>
              <w:t>;</w:t>
            </w:r>
          </w:p>
        </w:tc>
      </w:tr>
      <w:tr w:rsidR="00232F5B" w:rsidRPr="00975B07" w:rsidTr="00BD370E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208D" w:rsidRPr="00975B07" w:rsidRDefault="00BD370E" w:rsidP="004A6D2F">
            <w:r>
              <w:t>4</w:t>
            </w:r>
            <w:r w:rsidR="00046D2B" w:rsidRPr="00975B07">
              <w:t>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8D" w:rsidRPr="003641AD" w:rsidRDefault="003641AD" w:rsidP="0076097B">
            <w:pPr>
              <w:rPr>
                <w:b/>
              </w:rPr>
            </w:pPr>
            <w:r w:rsidRPr="003641AD">
              <w:rPr>
                <w:rStyle w:val="Firstpagetablebold"/>
              </w:rPr>
              <w:t>Agree</w:t>
            </w:r>
            <w:r w:rsidRPr="003641AD">
              <w:rPr>
                <w:rStyle w:val="Firstpagetablebold"/>
                <w:b w:val="0"/>
              </w:rPr>
              <w:t xml:space="preserve"> the meeting dates and time listed </w:t>
            </w:r>
            <w:r w:rsidR="0076097B">
              <w:rPr>
                <w:rStyle w:val="Firstpagetablebold"/>
                <w:b w:val="0"/>
              </w:rPr>
              <w:t>below</w:t>
            </w:r>
            <w:r w:rsidRPr="003641AD">
              <w:rPr>
                <w:rStyle w:val="Firstpagetablebold"/>
                <w:b w:val="0"/>
              </w:rPr>
              <w:t>.</w:t>
            </w:r>
          </w:p>
        </w:tc>
      </w:tr>
    </w:tbl>
    <w:p w:rsidR="00CE544A" w:rsidRPr="009E51FC" w:rsidRDefault="00CE544A" w:rsidP="004A6D2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918"/>
      </w:tblGrid>
      <w:tr w:rsidR="00966D42" w:rsidRPr="00975B07" w:rsidTr="00887493"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:rsidTr="00887493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5860" w:rsidRPr="00975B07" w:rsidRDefault="00ED5860" w:rsidP="004A6D2F">
            <w:r w:rsidRPr="00975B07">
              <w:t>Appendix 1</w:t>
            </w:r>
          </w:p>
        </w:tc>
        <w:tc>
          <w:tcPr>
            <w:tcW w:w="69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ED5860" w:rsidRPr="001356F1" w:rsidRDefault="003641AD" w:rsidP="004A6D2F">
            <w:r>
              <w:t>Powers and Duties of GPL Sub-Committees</w:t>
            </w:r>
          </w:p>
        </w:tc>
      </w:tr>
    </w:tbl>
    <w:p w:rsidR="00822518" w:rsidRDefault="00822518">
      <w:pPr>
        <w:spacing w:after="0"/>
        <w:rPr>
          <w:b/>
        </w:rPr>
      </w:pPr>
      <w:bookmarkStart w:id="0" w:name="_GoBack"/>
      <w:bookmarkEnd w:id="0"/>
      <w:r>
        <w:br w:type="page"/>
      </w:r>
    </w:p>
    <w:p w:rsidR="0076097B" w:rsidRDefault="0076097B" w:rsidP="0076097B">
      <w:pPr>
        <w:pStyle w:val="ListParagraph"/>
        <w:tabs>
          <w:tab w:val="clear" w:pos="426"/>
        </w:tabs>
        <w:ind w:left="284" w:hanging="284"/>
        <w:rPr>
          <w:lang w:eastAsia="en-US"/>
        </w:rPr>
      </w:pPr>
      <w:r>
        <w:rPr>
          <w:lang w:eastAsia="en-US"/>
        </w:rPr>
        <w:lastRenderedPageBreak/>
        <w:t>T</w:t>
      </w:r>
      <w:r w:rsidR="003641AD" w:rsidRPr="003641AD">
        <w:rPr>
          <w:lang w:eastAsia="en-US"/>
        </w:rPr>
        <w:t>he General Purposes Licensing Committee</w:t>
      </w:r>
      <w:r w:rsidR="00D6528A">
        <w:rPr>
          <w:lang w:eastAsia="en-US"/>
        </w:rPr>
        <w:t xml:space="preserve"> (GPL)</w:t>
      </w:r>
      <w:r w:rsidR="003641AD" w:rsidRPr="003641AD">
        <w:rPr>
          <w:lang w:eastAsia="en-US"/>
        </w:rPr>
        <w:t xml:space="preserve"> </w:t>
      </w:r>
      <w:r>
        <w:rPr>
          <w:lang w:eastAsia="en-US"/>
        </w:rPr>
        <w:t xml:space="preserve">is asked to </w:t>
      </w:r>
      <w:r w:rsidR="00B3366E">
        <w:rPr>
          <w:lang w:eastAsia="en-US"/>
        </w:rPr>
        <w:t>establish</w:t>
      </w:r>
      <w:r w:rsidR="003641AD" w:rsidRPr="003641AD">
        <w:rPr>
          <w:lang w:eastAsia="en-US"/>
        </w:rPr>
        <w:t xml:space="preserve"> </w:t>
      </w:r>
      <w:r>
        <w:rPr>
          <w:lang w:eastAsia="en-US"/>
        </w:rPr>
        <w:t>four</w:t>
      </w:r>
      <w:r w:rsidR="003641AD" w:rsidRPr="003641AD">
        <w:rPr>
          <w:lang w:eastAsia="en-US"/>
        </w:rPr>
        <w:t xml:space="preserve"> sub-co</w:t>
      </w:r>
      <w:r>
        <w:rPr>
          <w:lang w:eastAsia="en-US"/>
        </w:rPr>
        <w:t>mmittees to deal with casework with terms of reference as set out in the Council’s Constitution and in Appendix 1 of this report.</w:t>
      </w:r>
    </w:p>
    <w:p w:rsidR="007C75E5" w:rsidRDefault="0076097B" w:rsidP="0076097B">
      <w:pPr>
        <w:pStyle w:val="ListParagraph"/>
        <w:tabs>
          <w:tab w:val="clear" w:pos="426"/>
        </w:tabs>
        <w:ind w:left="284" w:hanging="284"/>
        <w:rPr>
          <w:lang w:eastAsia="en-US"/>
        </w:rPr>
      </w:pPr>
      <w:r>
        <w:rPr>
          <w:lang w:eastAsia="en-US"/>
        </w:rPr>
        <w:t>T</w:t>
      </w:r>
      <w:r w:rsidR="001F7967">
        <w:rPr>
          <w:lang w:eastAsia="en-US"/>
        </w:rPr>
        <w:t xml:space="preserve">he objective </w:t>
      </w:r>
      <w:r>
        <w:rPr>
          <w:lang w:eastAsia="en-US"/>
        </w:rPr>
        <w:t>of the structure is to</w:t>
      </w:r>
      <w:r w:rsidR="001F7967">
        <w:rPr>
          <w:lang w:eastAsia="en-US"/>
        </w:rPr>
        <w:t xml:space="preserve"> broaden membership and </w:t>
      </w:r>
      <w:r>
        <w:rPr>
          <w:lang w:eastAsia="en-US"/>
        </w:rPr>
        <w:t>allow the development of</w:t>
      </w:r>
      <w:r w:rsidR="001F7967">
        <w:rPr>
          <w:lang w:eastAsia="en-US"/>
        </w:rPr>
        <w:t xml:space="preserve"> skills and experience deficit</w:t>
      </w:r>
      <w:r>
        <w:rPr>
          <w:lang w:eastAsia="en-US"/>
        </w:rPr>
        <w:t xml:space="preserve"> while retaining consistency in decision making</w:t>
      </w:r>
      <w:r w:rsidR="001F7967">
        <w:rPr>
          <w:lang w:eastAsia="en-US"/>
        </w:rPr>
        <w:t xml:space="preserve">. </w:t>
      </w:r>
      <w:r w:rsidR="00DA337E">
        <w:rPr>
          <w:lang w:eastAsia="en-US"/>
        </w:rPr>
        <w:t xml:space="preserve">Local </w:t>
      </w:r>
      <w:r w:rsidR="00242B65">
        <w:rPr>
          <w:lang w:eastAsia="en-US"/>
        </w:rPr>
        <w:t>Government legislation require</w:t>
      </w:r>
      <w:r w:rsidR="00DA337E">
        <w:rPr>
          <w:lang w:eastAsia="en-US"/>
        </w:rPr>
        <w:t>s</w:t>
      </w:r>
      <w:r w:rsidR="001F7967">
        <w:rPr>
          <w:lang w:eastAsia="en-US"/>
        </w:rPr>
        <w:t xml:space="preserve"> that the</w:t>
      </w:r>
      <w:r w:rsidR="005A5C51">
        <w:rPr>
          <w:lang w:eastAsia="en-US"/>
        </w:rPr>
        <w:t xml:space="preserve"> sub-committee </w:t>
      </w:r>
      <w:r w:rsidR="001F7967">
        <w:rPr>
          <w:lang w:eastAsia="en-US"/>
        </w:rPr>
        <w:t>needs to</w:t>
      </w:r>
      <w:r w:rsidR="005A5C51">
        <w:rPr>
          <w:lang w:eastAsia="en-US"/>
        </w:rPr>
        <w:t xml:space="preserve"> be politically balanced</w:t>
      </w:r>
      <w:r w:rsidR="001F7967">
        <w:rPr>
          <w:lang w:eastAsia="en-US"/>
        </w:rPr>
        <w:t>.</w:t>
      </w:r>
      <w:r>
        <w:rPr>
          <w:lang w:eastAsia="en-US"/>
        </w:rPr>
        <w:t xml:space="preserve"> The c</w:t>
      </w:r>
      <w:r w:rsidR="00887493">
        <w:rPr>
          <w:lang w:eastAsia="en-US"/>
        </w:rPr>
        <w:t xml:space="preserve">urrent composition of the Council means that </w:t>
      </w:r>
      <w:r>
        <w:rPr>
          <w:lang w:eastAsia="en-US"/>
        </w:rPr>
        <w:t>each</w:t>
      </w:r>
      <w:r w:rsidR="00887493">
        <w:rPr>
          <w:lang w:eastAsia="en-US"/>
        </w:rPr>
        <w:t xml:space="preserve"> sub-committee of 3 should comprise 2 x Labour and 1 x Lib-Dem</w:t>
      </w:r>
      <w:r>
        <w:rPr>
          <w:lang w:eastAsia="en-US"/>
        </w:rPr>
        <w:t xml:space="preserve"> members</w:t>
      </w:r>
      <w:r w:rsidR="00887493">
        <w:rPr>
          <w:lang w:eastAsia="en-US"/>
        </w:rPr>
        <w:t xml:space="preserve">.  </w:t>
      </w:r>
    </w:p>
    <w:p w:rsidR="00E57C60" w:rsidRDefault="00E57C60" w:rsidP="00E57C60">
      <w:pPr>
        <w:pStyle w:val="ListParagraph"/>
        <w:tabs>
          <w:tab w:val="clear" w:pos="426"/>
        </w:tabs>
        <w:ind w:left="284" w:hanging="284"/>
        <w:rPr>
          <w:lang w:eastAsia="en-US"/>
        </w:rPr>
      </w:pPr>
      <w:r>
        <w:rPr>
          <w:lang w:eastAsia="en-US"/>
        </w:rPr>
        <w:t xml:space="preserve">Sub-Committees would be established as below, with </w:t>
      </w:r>
      <w:r w:rsidRPr="00E57C60">
        <w:rPr>
          <w:rFonts w:cs="Arial"/>
          <w:color w:val="auto"/>
          <w:lang w:eastAsia="en-US"/>
        </w:rPr>
        <w:t xml:space="preserve">8 out of 10 GPL members able to participate </w:t>
      </w:r>
      <w:r>
        <w:rPr>
          <w:rFonts w:cs="Arial"/>
          <w:color w:val="auto"/>
          <w:lang w:eastAsia="en-US"/>
        </w:rPr>
        <w:t>and all 10 able to act as substitutes on any sub-committee of which they were not a member.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2977"/>
      </w:tblGrid>
      <w:tr w:rsidR="001A02BF" w:rsidRPr="008E546D" w:rsidTr="001A02BF">
        <w:tc>
          <w:tcPr>
            <w:tcW w:w="1701" w:type="dxa"/>
            <w:shd w:val="clear" w:color="auto" w:fill="FDE9D9"/>
          </w:tcPr>
          <w:p w:rsidR="001A02BF" w:rsidRPr="008E546D" w:rsidRDefault="00E57C60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>
              <w:rPr>
                <w:rFonts w:cs="Arial"/>
                <w:color w:val="auto"/>
                <w:lang w:eastAsia="en-US"/>
              </w:rPr>
              <w:t>Sub-</w:t>
            </w:r>
            <w:r w:rsidR="001A02BF" w:rsidRPr="008E546D">
              <w:rPr>
                <w:rFonts w:cs="Arial"/>
                <w:color w:val="auto"/>
                <w:lang w:eastAsia="en-US"/>
              </w:rPr>
              <w:t>Committee</w:t>
            </w:r>
          </w:p>
        </w:tc>
        <w:tc>
          <w:tcPr>
            <w:tcW w:w="2410" w:type="dxa"/>
            <w:shd w:val="clear" w:color="auto" w:fill="FDE9D9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Chair</w:t>
            </w:r>
          </w:p>
        </w:tc>
        <w:tc>
          <w:tcPr>
            <w:tcW w:w="2977" w:type="dxa"/>
            <w:shd w:val="clear" w:color="auto" w:fill="FDE9D9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Membership</w:t>
            </w:r>
          </w:p>
        </w:tc>
      </w:tr>
      <w:tr w:rsidR="001A02BF" w:rsidRPr="008E546D" w:rsidTr="00222F96">
        <w:trPr>
          <w:trHeight w:val="276"/>
        </w:trPr>
        <w:tc>
          <w:tcPr>
            <w:tcW w:w="1701" w:type="dxa"/>
            <w:shd w:val="clear" w:color="auto" w:fill="auto"/>
          </w:tcPr>
          <w:p w:rsidR="001A02BF" w:rsidRPr="008E546D" w:rsidRDefault="00222F96" w:rsidP="00222F96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222F96">
              <w:rPr>
                <w:rFonts w:cs="Arial"/>
                <w:color w:val="auto"/>
                <w:lang w:eastAsia="en-US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:rsidR="001A02BF" w:rsidRPr="008E546D" w:rsidRDefault="00222F96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222F96">
              <w:rPr>
                <w:rFonts w:cs="Arial"/>
                <w:color w:val="auto"/>
                <w:lang w:eastAsia="en-US"/>
              </w:rPr>
              <w:t>GPL Chair</w:t>
            </w:r>
          </w:p>
        </w:tc>
        <w:tc>
          <w:tcPr>
            <w:tcW w:w="2977" w:type="dxa"/>
            <w:shd w:val="clear" w:color="auto" w:fill="auto"/>
          </w:tcPr>
          <w:p w:rsidR="00222F96" w:rsidRPr="00222F96" w:rsidRDefault="00222F96" w:rsidP="00222F96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222F96">
              <w:rPr>
                <w:rFonts w:cs="Arial"/>
                <w:color w:val="auto"/>
                <w:lang w:eastAsia="en-US"/>
              </w:rPr>
              <w:t>Labour A</w:t>
            </w:r>
          </w:p>
          <w:p w:rsidR="001A02BF" w:rsidRPr="008E546D" w:rsidRDefault="00222F96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222F96">
              <w:rPr>
                <w:rFonts w:cs="Arial"/>
                <w:color w:val="auto"/>
                <w:lang w:eastAsia="en-US"/>
              </w:rPr>
              <w:t>Lib Dem A</w:t>
            </w: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B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GPL V</w:t>
            </w:r>
            <w:r>
              <w:rPr>
                <w:rFonts w:cs="Arial"/>
                <w:color w:val="auto"/>
                <w:lang w:eastAsia="en-US"/>
              </w:rPr>
              <w:t>ice</w:t>
            </w:r>
            <w:r w:rsidRPr="008E546D">
              <w:rPr>
                <w:rFonts w:cs="Arial"/>
                <w:color w:val="auto"/>
                <w:lang w:eastAsia="en-US"/>
              </w:rPr>
              <w:t xml:space="preserve"> Chair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Labour B</w:t>
            </w:r>
          </w:p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Lib Dem B</w:t>
            </w: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C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GPL Chair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Labour C</w:t>
            </w:r>
          </w:p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Lib Dem A</w:t>
            </w: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D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GPL V</w:t>
            </w:r>
            <w:r>
              <w:rPr>
                <w:rFonts w:cs="Arial"/>
                <w:color w:val="auto"/>
                <w:lang w:eastAsia="en-US"/>
              </w:rPr>
              <w:t>ice</w:t>
            </w:r>
            <w:r w:rsidRPr="008E546D">
              <w:rPr>
                <w:rFonts w:cs="Arial"/>
                <w:color w:val="auto"/>
                <w:lang w:eastAsia="en-US"/>
              </w:rPr>
              <w:t xml:space="preserve"> Chair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Labour D</w:t>
            </w:r>
          </w:p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  <w:r w:rsidRPr="008E546D">
              <w:rPr>
                <w:rFonts w:cs="Arial"/>
                <w:color w:val="auto"/>
                <w:lang w:eastAsia="en-US"/>
              </w:rPr>
              <w:t>Lib Dem B</w:t>
            </w:r>
          </w:p>
        </w:tc>
      </w:tr>
      <w:tr w:rsidR="001A02BF" w:rsidRPr="008E546D" w:rsidTr="001A02BF">
        <w:trPr>
          <w:trHeight w:val="276"/>
        </w:trPr>
        <w:tc>
          <w:tcPr>
            <w:tcW w:w="1701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02BF" w:rsidRPr="008E546D" w:rsidRDefault="001A02BF" w:rsidP="008E546D">
            <w:pPr>
              <w:spacing w:after="0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02BF" w:rsidRPr="008E546D" w:rsidRDefault="001A02BF" w:rsidP="008E546D">
            <w:pPr>
              <w:numPr>
                <w:ilvl w:val="0"/>
                <w:numId w:val="37"/>
              </w:numPr>
              <w:spacing w:after="0"/>
              <w:rPr>
                <w:rFonts w:cs="Arial"/>
                <w:color w:val="auto"/>
                <w:lang w:eastAsia="en-US"/>
              </w:rPr>
            </w:pPr>
          </w:p>
        </w:tc>
      </w:tr>
    </w:tbl>
    <w:p w:rsidR="008E546D" w:rsidRPr="008E546D" w:rsidRDefault="008E546D" w:rsidP="00E57C60">
      <w:pPr>
        <w:spacing w:after="0"/>
        <w:rPr>
          <w:rFonts w:cs="Arial"/>
          <w:color w:val="FF0000"/>
          <w:lang w:eastAsia="en-US"/>
        </w:rPr>
      </w:pPr>
    </w:p>
    <w:p w:rsidR="007C75E5" w:rsidRPr="008E546D" w:rsidRDefault="007C75E5" w:rsidP="003A1E54">
      <w:pPr>
        <w:pStyle w:val="ListParagraph"/>
        <w:tabs>
          <w:tab w:val="clear" w:pos="426"/>
        </w:tabs>
        <w:ind w:left="567" w:hanging="567"/>
        <w:rPr>
          <w:lang w:eastAsia="en-US"/>
        </w:rPr>
      </w:pPr>
      <w:r w:rsidRPr="008E546D">
        <w:rPr>
          <w:lang w:eastAsia="en-US"/>
        </w:rPr>
        <w:t>Allocating meeting dates for each sub-committee means that members can diarise their meetings. If a meeting is cancelled it would mean that the particular sub-committee would not meet and the next meeting would be as scheduled.</w:t>
      </w:r>
    </w:p>
    <w:p w:rsidR="0076097B" w:rsidRPr="00E57C60" w:rsidRDefault="00E57C60" w:rsidP="00E57C60">
      <w:pPr>
        <w:pStyle w:val="bParagraphtext"/>
        <w:tabs>
          <w:tab w:val="clear" w:pos="426"/>
        </w:tabs>
        <w:ind w:left="567" w:hanging="567"/>
        <w:rPr>
          <w:lang w:eastAsia="en-US"/>
        </w:rPr>
      </w:pPr>
      <w:r>
        <w:rPr>
          <w:lang w:eastAsia="en-US"/>
        </w:rPr>
        <w:t>M</w:t>
      </w:r>
      <w:r w:rsidR="007C75E5" w:rsidRPr="008E546D">
        <w:rPr>
          <w:lang w:eastAsia="en-US"/>
        </w:rPr>
        <w:t>eetings of the Su</w:t>
      </w:r>
      <w:r>
        <w:rPr>
          <w:lang w:eastAsia="en-US"/>
        </w:rPr>
        <w:t xml:space="preserve">b-Committees are scheduled to start at </w:t>
      </w:r>
      <w:r w:rsidR="00DA337E">
        <w:rPr>
          <w:rFonts w:cs="Arial"/>
          <w:color w:val="auto"/>
          <w:lang w:eastAsia="en-US"/>
        </w:rPr>
        <w:t>6.0</w:t>
      </w:r>
      <w:r w:rsidR="007C75E5" w:rsidRPr="008E546D">
        <w:rPr>
          <w:rFonts w:cs="Arial"/>
          <w:color w:val="auto"/>
          <w:lang w:eastAsia="en-US"/>
        </w:rPr>
        <w:t>0pm</w:t>
      </w:r>
      <w:r>
        <w:rPr>
          <w:rFonts w:cs="Arial"/>
          <w:color w:val="auto"/>
          <w:lang w:eastAsia="en-US"/>
        </w:rPr>
        <w:t xml:space="preserve"> on: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377"/>
        <w:gridCol w:w="1843"/>
        <w:gridCol w:w="1377"/>
      </w:tblGrid>
      <w:tr w:rsidR="00E57C60" w:rsidRPr="00E57C60" w:rsidTr="00222F96">
        <w:tc>
          <w:tcPr>
            <w:tcW w:w="1843" w:type="dxa"/>
            <w:shd w:val="clear" w:color="auto" w:fill="FDE9D9" w:themeFill="accent6" w:themeFillTint="33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377" w:type="dxa"/>
            <w:shd w:val="clear" w:color="auto" w:fill="FDE9D9" w:themeFill="accent6" w:themeFillTint="33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Sub-Committee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377" w:type="dxa"/>
            <w:shd w:val="clear" w:color="auto" w:fill="FDE9D9" w:themeFill="accent6" w:themeFillTint="33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Sub-Committee</w:t>
            </w: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8 June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43" w:type="dxa"/>
          </w:tcPr>
          <w:p w:rsidR="00E57C60" w:rsidRPr="00E57C60" w:rsidRDefault="00331A65" w:rsidP="00331A65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>1 Feb</w:t>
            </w:r>
            <w:r w:rsidR="00E57C60" w:rsidRPr="00E57C60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21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DA337E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A337E">
              <w:rPr>
                <w:lang w:eastAsia="en-US"/>
              </w:rPr>
              <w:t xml:space="preserve"> July</w:t>
            </w:r>
            <w:r>
              <w:rPr>
                <w:lang w:eastAsia="en-US"/>
              </w:rPr>
              <w:t xml:space="preserve">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1843" w:type="dxa"/>
          </w:tcPr>
          <w:p w:rsidR="00E57C60" w:rsidRPr="00E57C60" w:rsidRDefault="00331A65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>16 Mar 2021</w:t>
            </w:r>
            <w:r w:rsidR="00E57C60" w:rsidRPr="00E57C60">
              <w:rPr>
                <w:lang w:eastAsia="en-US"/>
              </w:rPr>
              <w:t xml:space="preserve">  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DA337E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 Aug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843" w:type="dxa"/>
          </w:tcPr>
          <w:p w:rsidR="00E57C60" w:rsidRPr="00E57C60" w:rsidRDefault="00331A65" w:rsidP="00331A65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26 </w:t>
            </w:r>
            <w:r w:rsidR="00E57C60" w:rsidRPr="00E57C60">
              <w:rPr>
                <w:lang w:eastAsia="en-US"/>
              </w:rPr>
              <w:t>Apr 20</w:t>
            </w:r>
            <w:r>
              <w:rPr>
                <w:lang w:eastAsia="en-US"/>
              </w:rPr>
              <w:t>21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28 Sept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843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tabs>
                <w:tab w:val="clear" w:pos="426"/>
              </w:tabs>
              <w:rPr>
                <w:lang w:eastAsia="en-US"/>
              </w:rPr>
            </w:pP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DA337E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9 Nov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43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E57C60" w:rsidRPr="00E57C60" w:rsidTr="00E57C60">
        <w:tc>
          <w:tcPr>
            <w:tcW w:w="1843" w:type="dxa"/>
          </w:tcPr>
          <w:p w:rsidR="00E57C60" w:rsidRPr="00E57C60" w:rsidRDefault="00331A65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21 Dec 2020</w:t>
            </w: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1843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377" w:type="dxa"/>
          </w:tcPr>
          <w:p w:rsidR="00E57C60" w:rsidRPr="00E57C60" w:rsidRDefault="00E57C60" w:rsidP="00E57C60">
            <w:pPr>
              <w:pStyle w:val="bParagraphtext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:rsidR="00D6528A" w:rsidRPr="001356F1" w:rsidRDefault="00D6528A" w:rsidP="004A6D2F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7F7A" w:rsidRPr="001356F1" w:rsidRDefault="00331A65" w:rsidP="003A1E54">
            <w:r>
              <w:t>Jennifer Thompson</w:t>
            </w:r>
          </w:p>
        </w:tc>
      </w:tr>
      <w:tr w:rsidR="00DF093E" w:rsidRPr="001356F1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87F7A" w:rsidRPr="001356F1" w:rsidRDefault="008E546D" w:rsidP="00A46E98">
            <w:r>
              <w:t>Committee and Member Services Officer</w:t>
            </w:r>
          </w:p>
        </w:tc>
      </w:tr>
      <w:tr w:rsidR="00DF093E" w:rsidRPr="001356F1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87F7A" w:rsidRPr="001356F1" w:rsidRDefault="008E546D" w:rsidP="00887493">
            <w:r>
              <w:t>Law and Governance</w:t>
            </w:r>
          </w:p>
        </w:tc>
      </w:tr>
      <w:tr w:rsidR="00DF093E" w:rsidRPr="001356F1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87F7A" w:rsidRPr="001356F1" w:rsidRDefault="00E87F7A" w:rsidP="008E546D">
            <w:r w:rsidRPr="001356F1">
              <w:t xml:space="preserve">01865 </w:t>
            </w:r>
            <w:r w:rsidR="008E546D">
              <w:t>25</w:t>
            </w:r>
            <w:r w:rsidR="00331A65">
              <w:t>2275</w:t>
            </w:r>
          </w:p>
        </w:tc>
      </w:tr>
      <w:tr w:rsidR="005570B5" w:rsidRPr="001356F1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E54" w:rsidRPr="001356F1" w:rsidRDefault="00716A1B" w:rsidP="00331A65">
            <w:pPr>
              <w:rPr>
                <w:rStyle w:val="Hyperlink"/>
                <w:color w:val="000000"/>
              </w:rPr>
            </w:pPr>
            <w:hyperlink r:id="rId8" w:history="1">
              <w:r w:rsidR="00331A65" w:rsidRPr="00C81E13">
                <w:rPr>
                  <w:rStyle w:val="Hyperlink"/>
                </w:rPr>
                <w:t>jthompson@oxford.gov.uk</w:t>
              </w:r>
            </w:hyperlink>
            <w:r w:rsidR="00E57C60">
              <w:t xml:space="preserve"> </w:t>
            </w:r>
          </w:p>
        </w:tc>
      </w:tr>
    </w:tbl>
    <w:p w:rsidR="004456DD" w:rsidRPr="009E51FC" w:rsidRDefault="004456DD" w:rsidP="00E57C60"/>
    <w:sectPr w:rsidR="004456DD" w:rsidRPr="009E51FC" w:rsidSect="00BC2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60" w:rsidRDefault="00E57C60" w:rsidP="004A6D2F">
      <w:r>
        <w:separator/>
      </w:r>
    </w:p>
  </w:endnote>
  <w:endnote w:type="continuationSeparator" w:id="0">
    <w:p w:rsidR="00E57C60" w:rsidRDefault="00E57C60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 w:rsidP="004A6D2F">
    <w:pPr>
      <w:pStyle w:val="Footer"/>
    </w:pPr>
    <w:r>
      <w:t>Do not use a footer or page numbers.</w:t>
    </w:r>
  </w:p>
  <w:p w:rsidR="00E57C60" w:rsidRDefault="00E57C60" w:rsidP="004A6D2F">
    <w:pPr>
      <w:pStyle w:val="Footer"/>
    </w:pPr>
  </w:p>
  <w:p w:rsidR="00E57C60" w:rsidRDefault="00E57C60" w:rsidP="004A6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60" w:rsidRDefault="00E57C60" w:rsidP="004A6D2F">
      <w:r>
        <w:separator/>
      </w:r>
    </w:p>
  </w:footnote>
  <w:footnote w:type="continuationSeparator" w:id="0">
    <w:p w:rsidR="00E57C60" w:rsidRDefault="00E57C60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60" w:rsidRDefault="00E57C60" w:rsidP="00D5547E">
    <w:pPr>
      <w:pStyle w:val="Header"/>
      <w:jc w:val="right"/>
    </w:pPr>
    <w:r>
      <w:rPr>
        <w:noProof/>
      </w:rPr>
      <w:drawing>
        <wp:inline distT="0" distB="0" distL="0" distR="0">
          <wp:extent cx="843280" cy="1117600"/>
          <wp:effectExtent l="0" t="0" r="0" b="635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74108E4"/>
    <w:multiLevelType w:val="hybridMultilevel"/>
    <w:tmpl w:val="E70C46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26A41"/>
    <w:multiLevelType w:val="hybridMultilevel"/>
    <w:tmpl w:val="0AA0F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C4FEE"/>
    <w:multiLevelType w:val="hybridMultilevel"/>
    <w:tmpl w:val="6AB88A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07046"/>
    <w:multiLevelType w:val="hybridMultilevel"/>
    <w:tmpl w:val="8F8C6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D6272"/>
    <w:multiLevelType w:val="hybridMultilevel"/>
    <w:tmpl w:val="84005CD6"/>
    <w:lvl w:ilvl="0" w:tplc="98C2BE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90F71"/>
    <w:multiLevelType w:val="hybridMultilevel"/>
    <w:tmpl w:val="3F22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5FD8"/>
    <w:multiLevelType w:val="multilevel"/>
    <w:tmpl w:val="43D6D2FA"/>
    <w:numStyleLink w:val="StyleBulletedSymbolsymbolLeft063cmHanging063cm"/>
  </w:abstractNum>
  <w:abstractNum w:abstractNumId="33" w15:restartNumberingAfterBreak="0">
    <w:nsid w:val="5B9227F1"/>
    <w:multiLevelType w:val="hybridMultilevel"/>
    <w:tmpl w:val="D8BC2502"/>
    <w:lvl w:ilvl="0" w:tplc="24D8E4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86E83"/>
    <w:multiLevelType w:val="hybridMultilevel"/>
    <w:tmpl w:val="BDD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2831"/>
    <w:multiLevelType w:val="multilevel"/>
    <w:tmpl w:val="43D6D2FA"/>
    <w:numStyleLink w:val="StyleBulletedSymbolsymbolLeft063cmHanging063cm"/>
  </w:abstractNum>
  <w:abstractNum w:abstractNumId="37" w15:restartNumberingAfterBreak="0">
    <w:nsid w:val="68F42DF0"/>
    <w:multiLevelType w:val="hybridMultilevel"/>
    <w:tmpl w:val="F4F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C7379"/>
    <w:multiLevelType w:val="hybridMultilevel"/>
    <w:tmpl w:val="F08A7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365C6"/>
    <w:multiLevelType w:val="multilevel"/>
    <w:tmpl w:val="17DA65C2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25"/>
  </w:num>
  <w:num w:numId="4">
    <w:abstractNumId w:val="20"/>
  </w:num>
  <w:num w:numId="5">
    <w:abstractNumId w:val="34"/>
  </w:num>
  <w:num w:numId="6">
    <w:abstractNumId w:val="40"/>
  </w:num>
  <w:num w:numId="7">
    <w:abstractNumId w:val="24"/>
  </w:num>
  <w:num w:numId="8">
    <w:abstractNumId w:val="22"/>
  </w:num>
  <w:num w:numId="9">
    <w:abstractNumId w:val="14"/>
  </w:num>
  <w:num w:numId="10">
    <w:abstractNumId w:val="17"/>
  </w:num>
  <w:num w:numId="11">
    <w:abstractNumId w:val="27"/>
  </w:num>
  <w:num w:numId="12">
    <w:abstractNumId w:val="26"/>
  </w:num>
  <w:num w:numId="13">
    <w:abstractNumId w:val="10"/>
  </w:num>
  <w:num w:numId="14">
    <w:abstractNumId w:val="42"/>
  </w:num>
  <w:num w:numId="15">
    <w:abstractNumId w:val="18"/>
  </w:num>
  <w:num w:numId="16">
    <w:abstractNumId w:val="11"/>
  </w:num>
  <w:num w:numId="17">
    <w:abstractNumId w:val="32"/>
  </w:num>
  <w:num w:numId="18">
    <w:abstractNumId w:val="12"/>
  </w:num>
  <w:num w:numId="19">
    <w:abstractNumId w:val="36"/>
  </w:num>
  <w:num w:numId="20">
    <w:abstractNumId w:val="19"/>
  </w:num>
  <w:num w:numId="21">
    <w:abstractNumId w:val="23"/>
  </w:num>
  <w:num w:numId="22">
    <w:abstractNumId w:val="15"/>
  </w:num>
  <w:num w:numId="23">
    <w:abstractNumId w:val="38"/>
  </w:num>
  <w:num w:numId="24">
    <w:abstractNumId w:val="9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16"/>
  </w:num>
  <w:num w:numId="40">
    <w:abstractNumId w:val="33"/>
  </w:num>
  <w:num w:numId="41">
    <w:abstractNumId w:val="31"/>
  </w:num>
  <w:num w:numId="42">
    <w:abstractNumId w:val="29"/>
  </w:num>
  <w:num w:numId="43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58"/>
    <w:rsid w:val="00001ADC"/>
    <w:rsid w:val="000117D4"/>
    <w:rsid w:val="00015AFD"/>
    <w:rsid w:val="00020A65"/>
    <w:rsid w:val="000314D7"/>
    <w:rsid w:val="00045F8B"/>
    <w:rsid w:val="00046D2B"/>
    <w:rsid w:val="00056263"/>
    <w:rsid w:val="00064D8A"/>
    <w:rsid w:val="00064F82"/>
    <w:rsid w:val="00066510"/>
    <w:rsid w:val="00077523"/>
    <w:rsid w:val="000C089F"/>
    <w:rsid w:val="000C3928"/>
    <w:rsid w:val="000C5E8E"/>
    <w:rsid w:val="000F4751"/>
    <w:rsid w:val="0010524C"/>
    <w:rsid w:val="00111FB1"/>
    <w:rsid w:val="00113418"/>
    <w:rsid w:val="001356F1"/>
    <w:rsid w:val="00136994"/>
    <w:rsid w:val="0014128E"/>
    <w:rsid w:val="00151773"/>
    <w:rsid w:val="00151888"/>
    <w:rsid w:val="00170A2D"/>
    <w:rsid w:val="001808BC"/>
    <w:rsid w:val="00182B81"/>
    <w:rsid w:val="0018619D"/>
    <w:rsid w:val="0019171C"/>
    <w:rsid w:val="001A011E"/>
    <w:rsid w:val="001A02BF"/>
    <w:rsid w:val="001A066A"/>
    <w:rsid w:val="001A13E6"/>
    <w:rsid w:val="001A5731"/>
    <w:rsid w:val="001B42C3"/>
    <w:rsid w:val="001C5D5E"/>
    <w:rsid w:val="001D678D"/>
    <w:rsid w:val="001E03F8"/>
    <w:rsid w:val="001E1678"/>
    <w:rsid w:val="001E3376"/>
    <w:rsid w:val="001E3547"/>
    <w:rsid w:val="001F7967"/>
    <w:rsid w:val="002069B3"/>
    <w:rsid w:val="00222F96"/>
    <w:rsid w:val="00226073"/>
    <w:rsid w:val="002329CF"/>
    <w:rsid w:val="00232F5B"/>
    <w:rsid w:val="00242B65"/>
    <w:rsid w:val="00247C29"/>
    <w:rsid w:val="00260467"/>
    <w:rsid w:val="00263EA3"/>
    <w:rsid w:val="00284F85"/>
    <w:rsid w:val="00290915"/>
    <w:rsid w:val="002A22E2"/>
    <w:rsid w:val="002C64F7"/>
    <w:rsid w:val="002F41F2"/>
    <w:rsid w:val="00301BF3"/>
    <w:rsid w:val="0030208D"/>
    <w:rsid w:val="003038E5"/>
    <w:rsid w:val="00323418"/>
    <w:rsid w:val="00331A65"/>
    <w:rsid w:val="003357BF"/>
    <w:rsid w:val="003641AD"/>
    <w:rsid w:val="00364FAD"/>
    <w:rsid w:val="0036738F"/>
    <w:rsid w:val="0036759C"/>
    <w:rsid w:val="00367AE5"/>
    <w:rsid w:val="00367D71"/>
    <w:rsid w:val="0038150A"/>
    <w:rsid w:val="003A1E54"/>
    <w:rsid w:val="003B6E75"/>
    <w:rsid w:val="003B7DA1"/>
    <w:rsid w:val="003D0379"/>
    <w:rsid w:val="003D2574"/>
    <w:rsid w:val="003D4C59"/>
    <w:rsid w:val="003F4267"/>
    <w:rsid w:val="00404032"/>
    <w:rsid w:val="0040736F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1319"/>
    <w:rsid w:val="004738C5"/>
    <w:rsid w:val="00491046"/>
    <w:rsid w:val="004A2AC7"/>
    <w:rsid w:val="004A6D2F"/>
    <w:rsid w:val="004C2887"/>
    <w:rsid w:val="004D2626"/>
    <w:rsid w:val="004D481B"/>
    <w:rsid w:val="004D6E26"/>
    <w:rsid w:val="004D77D3"/>
    <w:rsid w:val="004E2959"/>
    <w:rsid w:val="004F20EF"/>
    <w:rsid w:val="0050321C"/>
    <w:rsid w:val="0051434C"/>
    <w:rsid w:val="0054712D"/>
    <w:rsid w:val="00547EF6"/>
    <w:rsid w:val="005570B5"/>
    <w:rsid w:val="00567E18"/>
    <w:rsid w:val="00575F5F"/>
    <w:rsid w:val="00581805"/>
    <w:rsid w:val="00585F76"/>
    <w:rsid w:val="005A34E4"/>
    <w:rsid w:val="005A5C51"/>
    <w:rsid w:val="005B17F2"/>
    <w:rsid w:val="005B7FB0"/>
    <w:rsid w:val="005C35A5"/>
    <w:rsid w:val="005C577C"/>
    <w:rsid w:val="005C623F"/>
    <w:rsid w:val="005D0621"/>
    <w:rsid w:val="005D1E27"/>
    <w:rsid w:val="005D2A3E"/>
    <w:rsid w:val="005E022E"/>
    <w:rsid w:val="005E5215"/>
    <w:rsid w:val="005F7F7E"/>
    <w:rsid w:val="0060276A"/>
    <w:rsid w:val="00614693"/>
    <w:rsid w:val="00623C2F"/>
    <w:rsid w:val="00633578"/>
    <w:rsid w:val="00637068"/>
    <w:rsid w:val="00650811"/>
    <w:rsid w:val="00661D3E"/>
    <w:rsid w:val="00692627"/>
    <w:rsid w:val="006969E7"/>
    <w:rsid w:val="006A3643"/>
    <w:rsid w:val="006C2A29"/>
    <w:rsid w:val="006C64CF"/>
    <w:rsid w:val="006D17B1"/>
    <w:rsid w:val="006D4752"/>
    <w:rsid w:val="006D708A"/>
    <w:rsid w:val="006D7DAB"/>
    <w:rsid w:val="006E14C1"/>
    <w:rsid w:val="006F0292"/>
    <w:rsid w:val="006F27FA"/>
    <w:rsid w:val="006F416B"/>
    <w:rsid w:val="006F519B"/>
    <w:rsid w:val="00713675"/>
    <w:rsid w:val="00715823"/>
    <w:rsid w:val="00716A1B"/>
    <w:rsid w:val="007221AE"/>
    <w:rsid w:val="00737B93"/>
    <w:rsid w:val="00745BF0"/>
    <w:rsid w:val="0076097B"/>
    <w:rsid w:val="007615FE"/>
    <w:rsid w:val="0076655C"/>
    <w:rsid w:val="007742DC"/>
    <w:rsid w:val="00791437"/>
    <w:rsid w:val="007A553D"/>
    <w:rsid w:val="007A6122"/>
    <w:rsid w:val="007B0C2C"/>
    <w:rsid w:val="007B278E"/>
    <w:rsid w:val="007C5C23"/>
    <w:rsid w:val="007C75E5"/>
    <w:rsid w:val="007E2A26"/>
    <w:rsid w:val="007F2348"/>
    <w:rsid w:val="00803F07"/>
    <w:rsid w:val="0080749A"/>
    <w:rsid w:val="00812ABD"/>
    <w:rsid w:val="00821FB8"/>
    <w:rsid w:val="00822518"/>
    <w:rsid w:val="00822ACD"/>
    <w:rsid w:val="00855C66"/>
    <w:rsid w:val="00871EE4"/>
    <w:rsid w:val="00887493"/>
    <w:rsid w:val="008A43AA"/>
    <w:rsid w:val="008B293F"/>
    <w:rsid w:val="008B7371"/>
    <w:rsid w:val="008D3DDB"/>
    <w:rsid w:val="008E546D"/>
    <w:rsid w:val="008F573F"/>
    <w:rsid w:val="009034EC"/>
    <w:rsid w:val="00927025"/>
    <w:rsid w:val="0093067A"/>
    <w:rsid w:val="00941C60"/>
    <w:rsid w:val="00941FD1"/>
    <w:rsid w:val="00966D42"/>
    <w:rsid w:val="00971689"/>
    <w:rsid w:val="00973E90"/>
    <w:rsid w:val="00975B07"/>
    <w:rsid w:val="00980B4A"/>
    <w:rsid w:val="009E3D0A"/>
    <w:rsid w:val="009E51FC"/>
    <w:rsid w:val="009F1D28"/>
    <w:rsid w:val="009F7618"/>
    <w:rsid w:val="00A04D23"/>
    <w:rsid w:val="00A06766"/>
    <w:rsid w:val="00A11E82"/>
    <w:rsid w:val="00A13765"/>
    <w:rsid w:val="00A21B12"/>
    <w:rsid w:val="00A23F80"/>
    <w:rsid w:val="00A4626B"/>
    <w:rsid w:val="00A46E98"/>
    <w:rsid w:val="00A6352B"/>
    <w:rsid w:val="00A668B8"/>
    <w:rsid w:val="00A701B5"/>
    <w:rsid w:val="00A714BB"/>
    <w:rsid w:val="00A77147"/>
    <w:rsid w:val="00A92D8F"/>
    <w:rsid w:val="00AB2988"/>
    <w:rsid w:val="00AB7999"/>
    <w:rsid w:val="00AD3292"/>
    <w:rsid w:val="00AE7AF0"/>
    <w:rsid w:val="00B01C3A"/>
    <w:rsid w:val="00B3366E"/>
    <w:rsid w:val="00B500CA"/>
    <w:rsid w:val="00B70D0C"/>
    <w:rsid w:val="00B86314"/>
    <w:rsid w:val="00BA1C2E"/>
    <w:rsid w:val="00BC200B"/>
    <w:rsid w:val="00BC4756"/>
    <w:rsid w:val="00BC69A4"/>
    <w:rsid w:val="00BD370E"/>
    <w:rsid w:val="00BE0680"/>
    <w:rsid w:val="00BE305F"/>
    <w:rsid w:val="00BE7BA3"/>
    <w:rsid w:val="00BF5682"/>
    <w:rsid w:val="00BF7B09"/>
    <w:rsid w:val="00C20A95"/>
    <w:rsid w:val="00C2692F"/>
    <w:rsid w:val="00C3207C"/>
    <w:rsid w:val="00C400E1"/>
    <w:rsid w:val="00C41187"/>
    <w:rsid w:val="00C44BAE"/>
    <w:rsid w:val="00C517E3"/>
    <w:rsid w:val="00C51C13"/>
    <w:rsid w:val="00C63C31"/>
    <w:rsid w:val="00C757A0"/>
    <w:rsid w:val="00C760DE"/>
    <w:rsid w:val="00C82630"/>
    <w:rsid w:val="00C85B4E"/>
    <w:rsid w:val="00C907F7"/>
    <w:rsid w:val="00C92BD0"/>
    <w:rsid w:val="00CA2103"/>
    <w:rsid w:val="00CB6B99"/>
    <w:rsid w:val="00CE4C87"/>
    <w:rsid w:val="00CE544A"/>
    <w:rsid w:val="00D11E1C"/>
    <w:rsid w:val="00D160B0"/>
    <w:rsid w:val="00D17F94"/>
    <w:rsid w:val="00D223FC"/>
    <w:rsid w:val="00D26D1E"/>
    <w:rsid w:val="00D275F4"/>
    <w:rsid w:val="00D474CF"/>
    <w:rsid w:val="00D5547E"/>
    <w:rsid w:val="00D57F03"/>
    <w:rsid w:val="00D623A5"/>
    <w:rsid w:val="00D6528A"/>
    <w:rsid w:val="00D869A1"/>
    <w:rsid w:val="00D96242"/>
    <w:rsid w:val="00DA337E"/>
    <w:rsid w:val="00DA413F"/>
    <w:rsid w:val="00DA4584"/>
    <w:rsid w:val="00DA614B"/>
    <w:rsid w:val="00DC1B71"/>
    <w:rsid w:val="00DC3060"/>
    <w:rsid w:val="00DC5712"/>
    <w:rsid w:val="00DE0FB2"/>
    <w:rsid w:val="00DF093E"/>
    <w:rsid w:val="00E01F42"/>
    <w:rsid w:val="00E206D6"/>
    <w:rsid w:val="00E3366E"/>
    <w:rsid w:val="00E52086"/>
    <w:rsid w:val="00E543A6"/>
    <w:rsid w:val="00E57C60"/>
    <w:rsid w:val="00E60479"/>
    <w:rsid w:val="00E61D73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3086"/>
    <w:rsid w:val="00EF44AB"/>
    <w:rsid w:val="00F05ECA"/>
    <w:rsid w:val="00F3566E"/>
    <w:rsid w:val="00F375FB"/>
    <w:rsid w:val="00F41AC1"/>
    <w:rsid w:val="00F4367A"/>
    <w:rsid w:val="00F445B1"/>
    <w:rsid w:val="00F45CD4"/>
    <w:rsid w:val="00F66DCA"/>
    <w:rsid w:val="00F74F53"/>
    <w:rsid w:val="00F7606D"/>
    <w:rsid w:val="00F81670"/>
    <w:rsid w:val="00F82024"/>
    <w:rsid w:val="00F95BC9"/>
    <w:rsid w:val="00FA624C"/>
    <w:rsid w:val="00FD0FAC"/>
    <w:rsid w:val="00FD1DFA"/>
    <w:rsid w:val="00FD4966"/>
    <w:rsid w:val="00FE5758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0F85941-D51D-4348-ACA9-1BCF653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19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1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7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hompson@oxford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93D4-2D10-4A31-8B8F-7BD26D39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67364343.dotm</Template>
  <TotalTime>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Committee Services</dc:creator>
  <cp:lastModifiedBy>THOMPSON Jennifer</cp:lastModifiedBy>
  <cp:revision>9</cp:revision>
  <cp:lastPrinted>2015-07-03T13:50:00Z</cp:lastPrinted>
  <dcterms:created xsi:type="dcterms:W3CDTF">2019-05-02T14:40:00Z</dcterms:created>
  <dcterms:modified xsi:type="dcterms:W3CDTF">2020-05-13T12:00:00Z</dcterms:modified>
</cp:coreProperties>
</file>