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F3" w:rsidRPr="00536B4C" w:rsidRDefault="00AC1BF3" w:rsidP="00AC1BF3">
      <w:pPr>
        <w:keepNext/>
        <w:jc w:val="right"/>
        <w:outlineLvl w:val="0"/>
        <w:rPr>
          <w:rFonts w:eastAsia="Times" w:cs="Times New Roman"/>
          <w:b/>
          <w:bCs/>
          <w:sz w:val="48"/>
          <w:szCs w:val="48"/>
        </w:rPr>
      </w:pPr>
      <w:r w:rsidRPr="00536B4C">
        <w:rPr>
          <w:rFonts w:eastAsia="Times" w:cs="Times New Roman"/>
          <w:b/>
          <w:bCs/>
          <w:sz w:val="48"/>
          <w:szCs w:val="48"/>
        </w:rPr>
        <w:t>A</w:t>
      </w:r>
      <w:bookmarkStart w:id="0" w:name="_GoBack"/>
      <w:bookmarkEnd w:id="0"/>
      <w:r w:rsidRPr="00536B4C">
        <w:rPr>
          <w:rFonts w:eastAsia="Times" w:cs="Times New Roman"/>
          <w:b/>
          <w:bCs/>
          <w:sz w:val="48"/>
          <w:szCs w:val="48"/>
        </w:rPr>
        <w:t>PPENDIX 1</w:t>
      </w:r>
    </w:p>
    <w:p w:rsidR="00AC1BF3" w:rsidRPr="00AC1BF3" w:rsidRDefault="00AC1BF3" w:rsidP="00AC1BF3">
      <w:pPr>
        <w:rPr>
          <w:rFonts w:eastAsia="Times New Roman" w:cs="Times New Roman"/>
        </w:rPr>
      </w:pPr>
    </w:p>
    <w:p w:rsidR="00AC1BF3" w:rsidRPr="00AC1BF3" w:rsidRDefault="00AC1BF3" w:rsidP="00AC1BF3">
      <w:pPr>
        <w:spacing w:after="120"/>
        <w:rPr>
          <w:rFonts w:eastAsia="Times New Roman" w:cs="Times New Roman"/>
          <w:b/>
          <w:sz w:val="28"/>
          <w:szCs w:val="28"/>
        </w:rPr>
      </w:pPr>
      <w:r w:rsidRPr="00AC1BF3">
        <w:rPr>
          <w:rFonts w:eastAsia="Times New Roman" w:cs="Times New Roman"/>
          <w:b/>
          <w:sz w:val="28"/>
          <w:szCs w:val="28"/>
        </w:rPr>
        <w:t>Treasury Management Practice (TMP) 1 – Credit and Counterparty Risk Management</w:t>
      </w:r>
    </w:p>
    <w:p w:rsidR="00AC1BF3" w:rsidRPr="00AC1BF3" w:rsidRDefault="00AC1BF3" w:rsidP="00AC1BF3">
      <w:pPr>
        <w:rPr>
          <w:rFonts w:eastAsia="Times New Roman" w:cs="Times New Roman"/>
          <w:i/>
        </w:rPr>
      </w:pPr>
      <w:r w:rsidRPr="00AC1BF3">
        <w:rPr>
          <w:rFonts w:eastAsia="Times New Roman" w:cs="Times New Roman"/>
        </w:rPr>
        <w:t xml:space="preserve">The Department of Communities and Local Government (CLG) issued Investment Guidance in </w:t>
      </w:r>
      <w:r w:rsidR="005A0B5E" w:rsidRPr="00AC1BF3">
        <w:rPr>
          <w:rFonts w:eastAsia="Times New Roman" w:cs="Times New Roman"/>
        </w:rPr>
        <w:t>201</w:t>
      </w:r>
      <w:r w:rsidR="005A0B5E">
        <w:rPr>
          <w:rFonts w:eastAsia="Times New Roman" w:cs="Times New Roman"/>
        </w:rPr>
        <w:t>8</w:t>
      </w:r>
      <w:r w:rsidRPr="00AC1BF3">
        <w:rPr>
          <w:rFonts w:eastAsia="Times New Roman" w:cs="Times New Roman"/>
        </w:rPr>
        <w:t xml:space="preserve">, and this </w:t>
      </w:r>
      <w:r w:rsidR="005A0B5E">
        <w:rPr>
          <w:rFonts w:eastAsia="Times New Roman" w:cs="Times New Roman"/>
        </w:rPr>
        <w:t>in</w:t>
      </w:r>
      <w:r w:rsidRPr="00AC1BF3">
        <w:rPr>
          <w:rFonts w:eastAsia="Times New Roman" w:cs="Times New Roman"/>
        </w:rPr>
        <w:t xml:space="preserve">forms the structure </w:t>
      </w:r>
      <w:r w:rsidR="005A0B5E">
        <w:rPr>
          <w:rFonts w:eastAsia="Times New Roman" w:cs="Times New Roman"/>
        </w:rPr>
        <w:t xml:space="preserve">and content </w:t>
      </w:r>
      <w:r w:rsidRPr="00AC1BF3">
        <w:rPr>
          <w:rFonts w:eastAsia="Times New Roman" w:cs="Times New Roman"/>
        </w:rPr>
        <w:t>of the Council’s policy below.</w:t>
      </w:r>
    </w:p>
    <w:p w:rsidR="00AC1BF3" w:rsidRPr="00AC1BF3" w:rsidRDefault="00AC1BF3" w:rsidP="00AC1BF3">
      <w:pPr>
        <w:rPr>
          <w:rFonts w:eastAsia="Times New Roman" w:cs="Times New Roman"/>
        </w:rPr>
      </w:pPr>
    </w:p>
    <w:p w:rsidR="00AC1BF3" w:rsidRDefault="00AC1BF3" w:rsidP="00AC1BF3">
      <w:pPr>
        <w:rPr>
          <w:rFonts w:eastAsia="Times New Roman" w:cs="Times New Roman"/>
        </w:rPr>
      </w:pPr>
      <w:r w:rsidRPr="00AC1BF3">
        <w:rPr>
          <w:rFonts w:eastAsia="Times New Roman" w:cs="Times New Roman"/>
        </w:rPr>
        <w:t xml:space="preserve">The key intention of the Guidance is to maintain the current requirement for Councils to invest prudently, and that priority is given to security and liquidity before yield.  In order to facilitate this objective the guidance requires Councils to have regard to the CIPFA publication </w:t>
      </w:r>
      <w:r w:rsidRPr="00AC1BF3">
        <w:rPr>
          <w:rFonts w:eastAsia="Times New Roman" w:cs="Times New Roman"/>
          <w:i/>
        </w:rPr>
        <w:t>Treasury Management in the Public Services: Code of Practice and Cross-Sectoral Guidance Notes</w:t>
      </w:r>
      <w:r w:rsidRPr="00AC1BF3">
        <w:rPr>
          <w:rFonts w:eastAsia="Times New Roman" w:cs="Times New Roman"/>
        </w:rPr>
        <w:t>.  This Council has adopted the Code and will apply its principles to all investment activity.  In accordance with the Code, the Section 151 Officer has produced Treasury Management Practices (TMPs).  This part, TMP 1, covering investment counterparty policy requires approval each year.</w:t>
      </w:r>
    </w:p>
    <w:p w:rsidR="009D3F20" w:rsidRDefault="009D3F20" w:rsidP="00AC1BF3">
      <w:pPr>
        <w:rPr>
          <w:rFonts w:eastAsia="Times New Roman" w:cs="Times New Roman"/>
        </w:rPr>
      </w:pPr>
    </w:p>
    <w:p w:rsidR="009D3F20" w:rsidRDefault="009D3F20" w:rsidP="00AC1BF3">
      <w:pPr>
        <w:rPr>
          <w:rFonts w:eastAsia="Times New Roman" w:cs="Times New Roman"/>
        </w:rPr>
      </w:pPr>
      <w:r>
        <w:rPr>
          <w:rFonts w:eastAsia="Times New Roman" w:cs="Times New Roman"/>
        </w:rPr>
        <w:t>Oxford City Council</w:t>
      </w:r>
      <w:r w:rsidRPr="009D3F20">
        <w:rPr>
          <w:rFonts w:eastAsia="Times New Roman" w:cs="Times New Roman"/>
        </w:rPr>
        <w:t xml:space="preserve"> regards a key objective of its treasury management activities to be the security of the principal sums it invests. Accordingly, it will ensure that robust due diligence procedures cover all external investment.</w:t>
      </w:r>
      <w:r w:rsidR="005A2739">
        <w:rPr>
          <w:rFonts w:eastAsia="Times New Roman" w:cs="Times New Roman"/>
        </w:rPr>
        <w:t xml:space="preserve">  </w:t>
      </w:r>
      <w:r w:rsidR="005A2739" w:rsidRPr="005A2739">
        <w:rPr>
          <w:rFonts w:eastAsia="Times New Roman" w:cs="Times New Roman"/>
        </w:rPr>
        <w:t xml:space="preserve">The </w:t>
      </w:r>
      <w:r w:rsidR="005A2739">
        <w:rPr>
          <w:rFonts w:eastAsia="Times New Roman" w:cs="Times New Roman"/>
        </w:rPr>
        <w:t>Council</w:t>
      </w:r>
      <w:r w:rsidR="005A2739" w:rsidRPr="005A2739">
        <w:rPr>
          <w:rFonts w:eastAsia="Times New Roman" w:cs="Times New Roman"/>
        </w:rPr>
        <w:t xml:space="preserve"> will keep under review the sensitivity of its treasury assets and liabilities to inflation, and will seek to manage the risk in the context of the whole organisation’s inflation exposure.</w:t>
      </w:r>
    </w:p>
    <w:p w:rsidR="005A2739" w:rsidRDefault="005A2739" w:rsidP="00AC1BF3">
      <w:pPr>
        <w:rPr>
          <w:rFonts w:eastAsia="Times New Roman" w:cs="Times New Roman"/>
        </w:rPr>
      </w:pPr>
    </w:p>
    <w:p w:rsidR="005A2739" w:rsidRPr="005A2739" w:rsidRDefault="005A2739" w:rsidP="00AC1BF3">
      <w:pPr>
        <w:rPr>
          <w:rFonts w:eastAsia="Times New Roman" w:cs="Times New Roman"/>
          <w:b/>
        </w:rPr>
      </w:pPr>
      <w:r w:rsidRPr="005A2739">
        <w:rPr>
          <w:rFonts w:eastAsia="Times New Roman" w:cs="Times New Roman"/>
          <w:b/>
        </w:rPr>
        <w:t>Investments that are not part of treasury management activity</w:t>
      </w:r>
    </w:p>
    <w:p w:rsidR="00AC1BF3" w:rsidRDefault="00AC1BF3" w:rsidP="00AC1BF3">
      <w:pPr>
        <w:rPr>
          <w:rFonts w:eastAsia="Times New Roman" w:cs="Times New Roman"/>
        </w:rPr>
      </w:pPr>
    </w:p>
    <w:p w:rsidR="0033114D" w:rsidRDefault="0033114D" w:rsidP="00AC1BF3">
      <w:pPr>
        <w:rPr>
          <w:rFonts w:eastAsia="Times New Roman" w:cs="Times New Roman"/>
        </w:rPr>
      </w:pPr>
      <w:r>
        <w:rPr>
          <w:rFonts w:eastAsia="Times New Roman" w:cs="Times New Roman"/>
        </w:rPr>
        <w:t>The following principles are required to be adopted as part of the Council’s TMP1 in accordance with the Treasury Management Code of Practice 2017:</w:t>
      </w:r>
    </w:p>
    <w:p w:rsidR="0033114D" w:rsidRDefault="0033114D" w:rsidP="00AC1BF3">
      <w:pPr>
        <w:rPr>
          <w:rFonts w:eastAsia="Times New Roman" w:cs="Times New Roman"/>
        </w:rPr>
      </w:pPr>
    </w:p>
    <w:p w:rsidR="00651597" w:rsidRPr="0033114D" w:rsidRDefault="0033114D" w:rsidP="0033114D">
      <w:pPr>
        <w:pStyle w:val="ListParagraph"/>
        <w:numPr>
          <w:ilvl w:val="0"/>
          <w:numId w:val="3"/>
        </w:numPr>
        <w:rPr>
          <w:rFonts w:eastAsia="Times New Roman" w:cs="Times New Roman"/>
        </w:rPr>
      </w:pPr>
      <w:r w:rsidRPr="0033114D">
        <w:rPr>
          <w:rFonts w:eastAsia="Times New Roman" w:cs="Times New Roman"/>
        </w:rPr>
        <w:t>The Council</w:t>
      </w:r>
      <w:r w:rsidR="00651597" w:rsidRPr="0033114D">
        <w:rPr>
          <w:rFonts w:eastAsia="Times New Roman" w:cs="Times New Roman"/>
        </w:rPr>
        <w:t xml:space="preserve"> recognises that investment in other financial assets and property</w:t>
      </w:r>
      <w:r w:rsidRPr="0033114D">
        <w:rPr>
          <w:rFonts w:eastAsia="Times New Roman" w:cs="Times New Roman"/>
        </w:rPr>
        <w:t xml:space="preserve"> </w:t>
      </w:r>
      <w:r w:rsidR="00651597" w:rsidRPr="0033114D">
        <w:rPr>
          <w:rFonts w:eastAsia="Times New Roman" w:cs="Times New Roman"/>
        </w:rPr>
        <w:t>primarily for financial return</w:t>
      </w:r>
      <w:r w:rsidR="004D334F">
        <w:rPr>
          <w:rFonts w:eastAsia="Times New Roman" w:cs="Times New Roman"/>
        </w:rPr>
        <w:t xml:space="preserve"> and not</w:t>
      </w:r>
      <w:r w:rsidR="00651597" w:rsidRPr="0033114D">
        <w:rPr>
          <w:rFonts w:eastAsia="Times New Roman" w:cs="Times New Roman"/>
        </w:rPr>
        <w:t xml:space="preserve"> treasury management purposes requires</w:t>
      </w:r>
      <w:r w:rsidRPr="0033114D">
        <w:rPr>
          <w:rFonts w:eastAsia="Times New Roman" w:cs="Times New Roman"/>
        </w:rPr>
        <w:t xml:space="preserve"> </w:t>
      </w:r>
      <w:r w:rsidR="00651597" w:rsidRPr="0033114D">
        <w:rPr>
          <w:rFonts w:eastAsia="Times New Roman" w:cs="Times New Roman"/>
        </w:rPr>
        <w:t>careful management</w:t>
      </w:r>
      <w:r w:rsidR="00793693">
        <w:rPr>
          <w:rFonts w:eastAsia="Times New Roman" w:cs="Times New Roman"/>
        </w:rPr>
        <w:t xml:space="preserve"> and monitoring</w:t>
      </w:r>
      <w:r w:rsidR="00651597" w:rsidRPr="0033114D">
        <w:rPr>
          <w:rFonts w:eastAsia="Times New Roman" w:cs="Times New Roman"/>
        </w:rPr>
        <w:t>. Such activity includes loans supporting service outcomes,</w:t>
      </w:r>
      <w:r w:rsidRPr="0033114D">
        <w:rPr>
          <w:rFonts w:eastAsia="Times New Roman" w:cs="Times New Roman"/>
        </w:rPr>
        <w:t xml:space="preserve"> </w:t>
      </w:r>
      <w:r w:rsidR="00651597" w:rsidRPr="0033114D">
        <w:rPr>
          <w:rFonts w:eastAsia="Times New Roman" w:cs="Times New Roman"/>
        </w:rPr>
        <w:t>investments in subsidiaries, and investment property portfolios.</w:t>
      </w:r>
    </w:p>
    <w:p w:rsidR="00651597" w:rsidRPr="0033114D" w:rsidRDefault="0033114D" w:rsidP="0033114D">
      <w:pPr>
        <w:pStyle w:val="ListParagraph"/>
        <w:numPr>
          <w:ilvl w:val="0"/>
          <w:numId w:val="3"/>
        </w:numPr>
        <w:rPr>
          <w:rFonts w:eastAsia="Times New Roman" w:cs="Times New Roman"/>
        </w:rPr>
      </w:pPr>
      <w:r w:rsidRPr="0033114D">
        <w:rPr>
          <w:rFonts w:eastAsia="Times New Roman" w:cs="Times New Roman"/>
        </w:rPr>
        <w:t>The Council</w:t>
      </w:r>
      <w:r w:rsidR="00651597" w:rsidRPr="0033114D">
        <w:rPr>
          <w:rFonts w:eastAsia="Times New Roman" w:cs="Times New Roman"/>
        </w:rPr>
        <w:t xml:space="preserve"> </w:t>
      </w:r>
      <w:r w:rsidR="001E0517">
        <w:rPr>
          <w:rFonts w:eastAsia="Times New Roman" w:cs="Times New Roman"/>
        </w:rPr>
        <w:t>has</w:t>
      </w:r>
      <w:r w:rsidR="00651597" w:rsidRPr="0033114D">
        <w:rPr>
          <w:rFonts w:eastAsia="Times New Roman" w:cs="Times New Roman"/>
        </w:rPr>
        <w:t xml:space="preserve"> ensure</w:t>
      </w:r>
      <w:r w:rsidR="001E0517">
        <w:rPr>
          <w:rFonts w:eastAsia="Times New Roman" w:cs="Times New Roman"/>
        </w:rPr>
        <w:t>d</w:t>
      </w:r>
      <w:r w:rsidR="00651597" w:rsidRPr="0033114D">
        <w:rPr>
          <w:rFonts w:eastAsia="Times New Roman" w:cs="Times New Roman"/>
        </w:rPr>
        <w:t xml:space="preserve"> that all </w:t>
      </w:r>
      <w:r w:rsidRPr="0033114D">
        <w:rPr>
          <w:rFonts w:eastAsia="Times New Roman" w:cs="Times New Roman"/>
        </w:rPr>
        <w:t>of</w:t>
      </w:r>
      <w:r w:rsidR="00651597" w:rsidRPr="0033114D">
        <w:rPr>
          <w:rFonts w:eastAsia="Times New Roman" w:cs="Times New Roman"/>
        </w:rPr>
        <w:t xml:space="preserve"> </w:t>
      </w:r>
      <w:r w:rsidRPr="0033114D">
        <w:rPr>
          <w:rFonts w:eastAsia="Times New Roman" w:cs="Times New Roman"/>
        </w:rPr>
        <w:t>it</w:t>
      </w:r>
      <w:r w:rsidR="00651597" w:rsidRPr="0033114D">
        <w:rPr>
          <w:rFonts w:eastAsia="Times New Roman" w:cs="Times New Roman"/>
        </w:rPr>
        <w:t xml:space="preserve">s </w:t>
      </w:r>
      <w:proofErr w:type="spellStart"/>
      <w:r w:rsidR="001E0517">
        <w:rPr>
          <w:rFonts w:eastAsia="Times New Roman" w:cs="Times New Roman"/>
        </w:rPr>
        <w:t>non treasury</w:t>
      </w:r>
      <w:proofErr w:type="spellEnd"/>
      <w:r w:rsidR="001E0517">
        <w:rPr>
          <w:rFonts w:eastAsia="Times New Roman" w:cs="Times New Roman"/>
        </w:rPr>
        <w:t xml:space="preserve"> </w:t>
      </w:r>
      <w:r w:rsidR="00651597" w:rsidRPr="0033114D">
        <w:rPr>
          <w:rFonts w:eastAsia="Times New Roman" w:cs="Times New Roman"/>
        </w:rPr>
        <w:t xml:space="preserve">investments are covered in </w:t>
      </w:r>
      <w:r w:rsidR="004D334F">
        <w:rPr>
          <w:rFonts w:eastAsia="Times New Roman" w:cs="Times New Roman"/>
        </w:rPr>
        <w:t>its</w:t>
      </w:r>
      <w:r w:rsidRPr="0033114D">
        <w:rPr>
          <w:rFonts w:eastAsia="Times New Roman" w:cs="Times New Roman"/>
        </w:rPr>
        <w:t xml:space="preserve"> </w:t>
      </w:r>
      <w:r w:rsidR="004D334F">
        <w:rPr>
          <w:rFonts w:eastAsia="Times New Roman" w:cs="Times New Roman"/>
        </w:rPr>
        <w:t>C</w:t>
      </w:r>
      <w:r w:rsidR="00651597" w:rsidRPr="0033114D">
        <w:rPr>
          <w:rFonts w:eastAsia="Times New Roman" w:cs="Times New Roman"/>
        </w:rPr>
        <w:t xml:space="preserve">apital </w:t>
      </w:r>
      <w:r w:rsidR="004D334F">
        <w:rPr>
          <w:rFonts w:eastAsia="Times New Roman" w:cs="Times New Roman"/>
        </w:rPr>
        <w:t>S</w:t>
      </w:r>
      <w:r w:rsidR="00651597" w:rsidRPr="0033114D">
        <w:rPr>
          <w:rFonts w:eastAsia="Times New Roman" w:cs="Times New Roman"/>
        </w:rPr>
        <w:t xml:space="preserve">trategy, and </w:t>
      </w:r>
      <w:r w:rsidR="001E0517">
        <w:rPr>
          <w:rFonts w:eastAsia="Times New Roman" w:cs="Times New Roman"/>
        </w:rPr>
        <w:t>has</w:t>
      </w:r>
      <w:r w:rsidR="00651597" w:rsidRPr="0033114D">
        <w:rPr>
          <w:rFonts w:eastAsia="Times New Roman" w:cs="Times New Roman"/>
        </w:rPr>
        <w:t xml:space="preserve"> set out, where relevant, the</w:t>
      </w:r>
      <w:r w:rsidRPr="0033114D">
        <w:rPr>
          <w:rFonts w:eastAsia="Times New Roman" w:cs="Times New Roman"/>
        </w:rPr>
        <w:t xml:space="preserve"> Council</w:t>
      </w:r>
      <w:r w:rsidR="00651597" w:rsidRPr="0033114D">
        <w:rPr>
          <w:rFonts w:eastAsia="Times New Roman" w:cs="Times New Roman"/>
        </w:rPr>
        <w:t>’s risk appetite and specific policies and arrangements for non-treasury</w:t>
      </w:r>
      <w:r w:rsidRPr="0033114D">
        <w:rPr>
          <w:rFonts w:eastAsia="Times New Roman" w:cs="Times New Roman"/>
        </w:rPr>
        <w:t xml:space="preserve"> </w:t>
      </w:r>
      <w:r w:rsidR="00651597" w:rsidRPr="0033114D">
        <w:rPr>
          <w:rFonts w:eastAsia="Times New Roman" w:cs="Times New Roman"/>
        </w:rPr>
        <w:t xml:space="preserve">investments. </w:t>
      </w:r>
      <w:r w:rsidRPr="0033114D">
        <w:rPr>
          <w:rFonts w:eastAsia="Times New Roman" w:cs="Times New Roman"/>
        </w:rPr>
        <w:t xml:space="preserve"> </w:t>
      </w:r>
      <w:r w:rsidR="00651597" w:rsidRPr="0033114D">
        <w:rPr>
          <w:rFonts w:eastAsia="Times New Roman" w:cs="Times New Roman"/>
        </w:rPr>
        <w:t xml:space="preserve">It </w:t>
      </w:r>
      <w:r w:rsidR="001E0517">
        <w:rPr>
          <w:rFonts w:eastAsia="Times New Roman" w:cs="Times New Roman"/>
        </w:rPr>
        <w:t>is</w:t>
      </w:r>
      <w:r w:rsidR="00651597" w:rsidRPr="0033114D">
        <w:rPr>
          <w:rFonts w:eastAsia="Times New Roman" w:cs="Times New Roman"/>
        </w:rPr>
        <w:t xml:space="preserve"> recognised that the risk appetite for these activities may differ from</w:t>
      </w:r>
      <w:r w:rsidRPr="0033114D">
        <w:rPr>
          <w:rFonts w:eastAsia="Times New Roman" w:cs="Times New Roman"/>
        </w:rPr>
        <w:t xml:space="preserve"> </w:t>
      </w:r>
      <w:r w:rsidR="00651597" w:rsidRPr="0033114D">
        <w:rPr>
          <w:rFonts w:eastAsia="Times New Roman" w:cs="Times New Roman"/>
        </w:rPr>
        <w:t>that for treasury management.</w:t>
      </w:r>
    </w:p>
    <w:p w:rsidR="005A2739" w:rsidRPr="0033114D" w:rsidRDefault="00651597" w:rsidP="0033114D">
      <w:pPr>
        <w:pStyle w:val="ListParagraph"/>
        <w:numPr>
          <w:ilvl w:val="0"/>
          <w:numId w:val="3"/>
        </w:numPr>
        <w:rPr>
          <w:rFonts w:eastAsia="Times New Roman" w:cs="Times New Roman"/>
        </w:rPr>
      </w:pPr>
      <w:r w:rsidRPr="0033114D">
        <w:rPr>
          <w:rFonts w:eastAsia="Times New Roman" w:cs="Times New Roman"/>
        </w:rPr>
        <w:t xml:space="preserve">The </w:t>
      </w:r>
      <w:r w:rsidR="0033114D" w:rsidRPr="0033114D">
        <w:rPr>
          <w:rFonts w:eastAsia="Times New Roman" w:cs="Times New Roman"/>
        </w:rPr>
        <w:t>Council</w:t>
      </w:r>
      <w:r w:rsidRPr="0033114D">
        <w:rPr>
          <w:rFonts w:eastAsia="Times New Roman" w:cs="Times New Roman"/>
        </w:rPr>
        <w:t xml:space="preserve"> </w:t>
      </w:r>
      <w:r w:rsidR="001E0517">
        <w:rPr>
          <w:rFonts w:eastAsia="Times New Roman" w:cs="Times New Roman"/>
        </w:rPr>
        <w:t>has</w:t>
      </w:r>
      <w:r w:rsidRPr="0033114D">
        <w:rPr>
          <w:rFonts w:eastAsia="Times New Roman" w:cs="Times New Roman"/>
        </w:rPr>
        <w:t xml:space="preserve"> </w:t>
      </w:r>
      <w:r w:rsidR="00793693">
        <w:rPr>
          <w:rFonts w:eastAsia="Times New Roman" w:cs="Times New Roman"/>
        </w:rPr>
        <w:t>compile</w:t>
      </w:r>
      <w:r w:rsidR="001E0517">
        <w:rPr>
          <w:rFonts w:eastAsia="Times New Roman" w:cs="Times New Roman"/>
        </w:rPr>
        <w:t>d</w:t>
      </w:r>
      <w:r w:rsidR="00793693">
        <w:rPr>
          <w:rFonts w:eastAsia="Times New Roman" w:cs="Times New Roman"/>
        </w:rPr>
        <w:t xml:space="preserve"> </w:t>
      </w:r>
      <w:r w:rsidRPr="0033114D">
        <w:rPr>
          <w:rFonts w:eastAsia="Times New Roman" w:cs="Times New Roman"/>
        </w:rPr>
        <w:t>schedule</w:t>
      </w:r>
      <w:r w:rsidR="005A0B5E">
        <w:rPr>
          <w:rFonts w:eastAsia="Times New Roman" w:cs="Times New Roman"/>
        </w:rPr>
        <w:t>s</w:t>
      </w:r>
      <w:r w:rsidRPr="0033114D">
        <w:rPr>
          <w:rFonts w:eastAsia="Times New Roman" w:cs="Times New Roman"/>
        </w:rPr>
        <w:t xml:space="preserve"> setting out a summary of existing material</w:t>
      </w:r>
      <w:r w:rsidR="0033114D" w:rsidRPr="0033114D">
        <w:rPr>
          <w:rFonts w:eastAsia="Times New Roman" w:cs="Times New Roman"/>
        </w:rPr>
        <w:t xml:space="preserve"> </w:t>
      </w:r>
      <w:r w:rsidRPr="0033114D">
        <w:rPr>
          <w:rFonts w:eastAsia="Times New Roman" w:cs="Times New Roman"/>
        </w:rPr>
        <w:t>investments, subsidiaries, joint ventures and liabilities including financial guarantees and the</w:t>
      </w:r>
      <w:r w:rsidR="0033114D" w:rsidRPr="0033114D">
        <w:rPr>
          <w:rFonts w:eastAsia="Times New Roman" w:cs="Times New Roman"/>
        </w:rPr>
        <w:t xml:space="preserve"> Council</w:t>
      </w:r>
      <w:r w:rsidRPr="0033114D">
        <w:rPr>
          <w:rFonts w:eastAsia="Times New Roman" w:cs="Times New Roman"/>
        </w:rPr>
        <w:t xml:space="preserve">’s </w:t>
      </w:r>
      <w:r w:rsidR="004D334F">
        <w:rPr>
          <w:rFonts w:eastAsia="Times New Roman" w:cs="Times New Roman"/>
        </w:rPr>
        <w:t xml:space="preserve">associated </w:t>
      </w:r>
      <w:r w:rsidRPr="0033114D">
        <w:rPr>
          <w:rFonts w:eastAsia="Times New Roman" w:cs="Times New Roman"/>
        </w:rPr>
        <w:t>risk exposure.</w:t>
      </w:r>
      <w:r w:rsidR="005A0B5E">
        <w:rPr>
          <w:rFonts w:eastAsia="Times New Roman" w:cs="Times New Roman"/>
        </w:rPr>
        <w:t xml:space="preserve">  These are included in the Capital Strategy in the relevant section.</w:t>
      </w:r>
    </w:p>
    <w:p w:rsidR="005A2739" w:rsidRDefault="005A2739" w:rsidP="00AC1BF3">
      <w:pPr>
        <w:rPr>
          <w:rFonts w:eastAsia="Times New Roman" w:cs="Times New Roman"/>
        </w:rPr>
      </w:pPr>
    </w:p>
    <w:p w:rsidR="00793693" w:rsidRPr="00AC1BF3" w:rsidRDefault="00793693" w:rsidP="00AC1BF3">
      <w:pPr>
        <w:rPr>
          <w:rFonts w:eastAsia="Times New Roman" w:cs="Times New Roman"/>
        </w:rPr>
      </w:pPr>
    </w:p>
    <w:p w:rsidR="001E0517" w:rsidRDefault="001E0517">
      <w:pPr>
        <w:rPr>
          <w:rFonts w:eastAsia="Times New Roman" w:cs="Times New Roman"/>
          <w:b/>
        </w:rPr>
      </w:pPr>
      <w:r>
        <w:rPr>
          <w:rFonts w:eastAsia="Times New Roman" w:cs="Times New Roman"/>
          <w:b/>
        </w:rPr>
        <w:br w:type="page"/>
      </w:r>
    </w:p>
    <w:p w:rsidR="00AC1BF3" w:rsidRPr="00AC1BF3" w:rsidRDefault="00AC1BF3" w:rsidP="00AC1BF3">
      <w:pPr>
        <w:rPr>
          <w:rFonts w:eastAsia="Times New Roman" w:cs="Times New Roman"/>
        </w:rPr>
      </w:pPr>
      <w:r w:rsidRPr="00AC1BF3">
        <w:rPr>
          <w:rFonts w:eastAsia="Times New Roman" w:cs="Times New Roman"/>
          <w:b/>
        </w:rPr>
        <w:lastRenderedPageBreak/>
        <w:t>Annual Investment Strategy</w:t>
      </w:r>
      <w:r w:rsidRPr="00AC1BF3">
        <w:rPr>
          <w:rFonts w:eastAsia="Times New Roman" w:cs="Times New Roman"/>
        </w:rPr>
        <w:t xml:space="preserve"> - The key requirements of both the Code and the investment guidance are that Councils set an annual Investment Strategy, as part of their Treasury Strategy for the following year</w:t>
      </w:r>
      <w:r w:rsidRPr="00AC1BF3">
        <w:rPr>
          <w:rFonts w:eastAsia="Times New Roman" w:cs="Times New Roman"/>
          <w:i/>
        </w:rPr>
        <w:t>,</w:t>
      </w:r>
      <w:r w:rsidRPr="00AC1BF3">
        <w:rPr>
          <w:rFonts w:eastAsia="Times New Roman" w:cs="Times New Roman"/>
        </w:rPr>
        <w:t xml:space="preserve"> covering the identification and approval of the following:</w:t>
      </w:r>
    </w:p>
    <w:p w:rsidR="00AC1BF3" w:rsidRPr="00AC1BF3" w:rsidRDefault="00AC1BF3" w:rsidP="00AC1BF3">
      <w:pPr>
        <w:rPr>
          <w:rFonts w:eastAsia="Times New Roman" w:cs="Times New Roman"/>
        </w:rPr>
      </w:pPr>
    </w:p>
    <w:p w:rsidR="00AC1BF3" w:rsidRPr="00AC1BF3" w:rsidRDefault="00AC1BF3" w:rsidP="00AC1BF3">
      <w:pPr>
        <w:numPr>
          <w:ilvl w:val="0"/>
          <w:numId w:val="1"/>
        </w:numPr>
        <w:tabs>
          <w:tab w:val="num" w:pos="284"/>
          <w:tab w:val="num" w:pos="1080"/>
        </w:tabs>
        <w:rPr>
          <w:rFonts w:eastAsia="Times New Roman" w:cs="Times New Roman"/>
        </w:rPr>
      </w:pPr>
      <w:r w:rsidRPr="00AC1BF3">
        <w:rPr>
          <w:rFonts w:eastAsia="Times New Roman" w:cs="Times New Roman"/>
        </w:rPr>
        <w:t>The guidelines for choosing and placing investments, particularly non-specified investments.</w:t>
      </w:r>
    </w:p>
    <w:p w:rsidR="00AC1BF3" w:rsidRPr="00AC1BF3" w:rsidRDefault="00AC1BF3" w:rsidP="00AC1BF3">
      <w:pPr>
        <w:numPr>
          <w:ilvl w:val="0"/>
          <w:numId w:val="1"/>
        </w:numPr>
        <w:tabs>
          <w:tab w:val="num" w:pos="284"/>
          <w:tab w:val="num" w:pos="1080"/>
        </w:tabs>
        <w:rPr>
          <w:rFonts w:eastAsia="Times New Roman" w:cs="Times New Roman"/>
        </w:rPr>
      </w:pPr>
      <w:r w:rsidRPr="00AC1BF3">
        <w:rPr>
          <w:rFonts w:eastAsia="Times New Roman" w:cs="Times New Roman"/>
        </w:rPr>
        <w:t>The principles to be used to determine the maximum periods for which funds can be committed.</w:t>
      </w:r>
    </w:p>
    <w:p w:rsidR="00AC1BF3" w:rsidRPr="00AC1BF3" w:rsidRDefault="00AC1BF3" w:rsidP="00AC1BF3">
      <w:pPr>
        <w:numPr>
          <w:ilvl w:val="0"/>
          <w:numId w:val="1"/>
        </w:numPr>
        <w:tabs>
          <w:tab w:val="num" w:pos="284"/>
          <w:tab w:val="num" w:pos="1080"/>
        </w:tabs>
        <w:rPr>
          <w:rFonts w:eastAsia="Times New Roman" w:cs="Times New Roman"/>
        </w:rPr>
      </w:pPr>
      <w:r w:rsidRPr="00AC1BF3">
        <w:rPr>
          <w:rFonts w:eastAsia="Times New Roman" w:cs="Times New Roman"/>
        </w:rPr>
        <w:t xml:space="preserve">Specified investments the Council will use.  </w:t>
      </w:r>
    </w:p>
    <w:p w:rsidR="00AC1BF3" w:rsidRPr="00AC1BF3" w:rsidRDefault="00AC1BF3" w:rsidP="00AC1BF3">
      <w:pPr>
        <w:numPr>
          <w:ilvl w:val="0"/>
          <w:numId w:val="1"/>
        </w:numPr>
        <w:tabs>
          <w:tab w:val="num" w:pos="284"/>
          <w:tab w:val="num" w:pos="1080"/>
        </w:tabs>
        <w:rPr>
          <w:rFonts w:eastAsia="Times New Roman" w:cs="Times New Roman"/>
        </w:rPr>
      </w:pPr>
      <w:r w:rsidRPr="00AC1BF3">
        <w:rPr>
          <w:rFonts w:eastAsia="Times New Roman" w:cs="Times New Roman"/>
        </w:rPr>
        <w:t>Non-specified investments the Council will use, clarifying the greater risk implications, and the overall amount of various categories that can be held at any time.</w:t>
      </w:r>
    </w:p>
    <w:p w:rsidR="00AC1BF3" w:rsidRPr="00AC1BF3" w:rsidRDefault="00AC1BF3" w:rsidP="00AC1BF3">
      <w:pPr>
        <w:rPr>
          <w:rFonts w:eastAsia="Times New Roman" w:cs="Times New Roman"/>
        </w:rPr>
      </w:pPr>
    </w:p>
    <w:p w:rsidR="00AC1BF3" w:rsidRPr="00AC1BF3" w:rsidRDefault="00AC1BF3" w:rsidP="00AC1BF3">
      <w:pPr>
        <w:rPr>
          <w:rFonts w:eastAsia="Times New Roman" w:cs="Times New Roman"/>
        </w:rPr>
      </w:pPr>
      <w:r w:rsidRPr="00AC1BF3">
        <w:rPr>
          <w:rFonts w:eastAsia="Times New Roman" w:cs="Times New Roman"/>
        </w:rPr>
        <w:t>Maturity periods are defined as the remaining length of an investment period.  Arranging a deal in advance by up to four weeks is not considered to add to the duration of the investment.</w:t>
      </w:r>
    </w:p>
    <w:p w:rsidR="00AC1BF3" w:rsidRPr="00AC1BF3" w:rsidRDefault="00AC1BF3" w:rsidP="00AC1BF3">
      <w:pPr>
        <w:rPr>
          <w:rFonts w:eastAsia="Times New Roman" w:cs="Times New Roman"/>
        </w:rPr>
      </w:pPr>
    </w:p>
    <w:p w:rsidR="00AC1BF3" w:rsidRPr="00AC1BF3" w:rsidRDefault="00AC1BF3" w:rsidP="00AC1BF3">
      <w:pPr>
        <w:rPr>
          <w:rFonts w:eastAsia="Times New Roman" w:cs="Times New Roman"/>
        </w:rPr>
      </w:pPr>
      <w:r w:rsidRPr="00AC1BF3">
        <w:rPr>
          <w:rFonts w:eastAsia="Times New Roman" w:cs="Times New Roman"/>
        </w:rPr>
        <w:t xml:space="preserve">In addition to the investments identified below as </w:t>
      </w:r>
      <w:r w:rsidR="004D334F">
        <w:rPr>
          <w:rFonts w:eastAsia="Times New Roman" w:cs="Times New Roman"/>
        </w:rPr>
        <w:t>S</w:t>
      </w:r>
      <w:r w:rsidRPr="00AC1BF3">
        <w:rPr>
          <w:rFonts w:eastAsia="Times New Roman" w:cs="Times New Roman"/>
        </w:rPr>
        <w:t xml:space="preserve">pecified and </w:t>
      </w:r>
      <w:r w:rsidR="004D334F">
        <w:rPr>
          <w:rFonts w:eastAsia="Times New Roman" w:cs="Times New Roman"/>
        </w:rPr>
        <w:t>N</w:t>
      </w:r>
      <w:r w:rsidRPr="00AC1BF3">
        <w:rPr>
          <w:rFonts w:eastAsia="Times New Roman" w:cs="Times New Roman"/>
        </w:rPr>
        <w:t xml:space="preserve">on-specified investments, the Council may provide loans to a company in which </w:t>
      </w:r>
      <w:r w:rsidR="004D334F">
        <w:rPr>
          <w:rFonts w:eastAsia="Times New Roman" w:cs="Times New Roman"/>
        </w:rPr>
        <w:t xml:space="preserve">it </w:t>
      </w:r>
      <w:r w:rsidRPr="00AC1BF3">
        <w:rPr>
          <w:rFonts w:eastAsia="Times New Roman" w:cs="Times New Roman"/>
        </w:rPr>
        <w:t>has an interest.  These loans are outside the limits specified in the tables below and may be matched by equivalent external borrowing.  The loans will then be given at a rate that at least covers the Council’s costs and that is compliant with State Aid requirements.</w:t>
      </w:r>
    </w:p>
    <w:p w:rsidR="00AC1BF3" w:rsidRPr="00AC1BF3" w:rsidRDefault="00AC1BF3" w:rsidP="00AC1BF3">
      <w:pPr>
        <w:rPr>
          <w:rFonts w:eastAsia="Times New Roman" w:cs="Times New Roman"/>
        </w:rPr>
      </w:pPr>
    </w:p>
    <w:p w:rsidR="00AC1BF3" w:rsidRPr="00AC1BF3" w:rsidRDefault="00AC1BF3" w:rsidP="00AC1BF3">
      <w:pPr>
        <w:spacing w:after="120"/>
        <w:rPr>
          <w:rFonts w:eastAsia="Times New Roman" w:cs="Times New Roman"/>
        </w:rPr>
      </w:pPr>
      <w:r w:rsidRPr="00AC1BF3">
        <w:rPr>
          <w:rFonts w:eastAsia="Times New Roman" w:cs="Times New Roman"/>
          <w:b/>
        </w:rPr>
        <w:t>Specified Investments</w:t>
      </w:r>
      <w:r w:rsidRPr="00AC1BF3">
        <w:rPr>
          <w:rFonts w:eastAsia="Times New Roman" w:cs="Times New Roman"/>
        </w:rPr>
        <w:t xml:space="preserve"> – These investments are sterling investments </w:t>
      </w:r>
      <w:r w:rsidR="008F3166">
        <w:rPr>
          <w:rFonts w:eastAsia="Times New Roman" w:cs="Times New Roman"/>
        </w:rPr>
        <w:t xml:space="preserve">that would not be defined as capital expenditure and </w:t>
      </w:r>
      <w:r w:rsidRPr="00AC1BF3">
        <w:rPr>
          <w:rFonts w:eastAsia="Times New Roman" w:cs="Times New Roman"/>
        </w:rPr>
        <w:t>don</w:t>
      </w:r>
      <w:r w:rsidR="008F3166">
        <w:rPr>
          <w:rFonts w:eastAsia="Times New Roman" w:cs="Times New Roman"/>
        </w:rPr>
        <w:t>’</w:t>
      </w:r>
      <w:r w:rsidRPr="00AC1BF3">
        <w:rPr>
          <w:rFonts w:eastAsia="Times New Roman" w:cs="Times New Roman"/>
        </w:rPr>
        <w:t xml:space="preserve">t exceed a maturity period of one year, or where </w:t>
      </w:r>
      <w:r w:rsidR="00354EF7">
        <w:rPr>
          <w:rFonts w:eastAsia="Times New Roman" w:cs="Times New Roman"/>
        </w:rPr>
        <w:t>the maturity period is longer,</w:t>
      </w:r>
      <w:r w:rsidR="00BC28DC">
        <w:rPr>
          <w:rFonts w:eastAsia="Times New Roman" w:cs="Times New Roman"/>
        </w:rPr>
        <w:t xml:space="preserve"> </w:t>
      </w:r>
      <w:r w:rsidRPr="00AC1BF3">
        <w:rPr>
          <w:rFonts w:eastAsia="Times New Roman" w:cs="Times New Roman"/>
        </w:rPr>
        <w:t>the Council has the right to be repaid within twelve months if it wishes.  These are considered low risk assets where the possibility of loss of principal or investment income is small.  The</w:t>
      </w:r>
      <w:r w:rsidR="008F3166">
        <w:rPr>
          <w:rFonts w:eastAsia="Times New Roman" w:cs="Times New Roman"/>
        </w:rPr>
        <w:t>y</w:t>
      </w:r>
      <w:r w:rsidRPr="00AC1BF3">
        <w:rPr>
          <w:rFonts w:eastAsia="Times New Roman" w:cs="Times New Roman"/>
        </w:rPr>
        <w:t xml:space="preserve"> </w:t>
      </w:r>
      <w:r w:rsidR="008F3166" w:rsidRPr="00AC1BF3">
        <w:rPr>
          <w:rFonts w:eastAsia="Times New Roman" w:cs="Times New Roman"/>
        </w:rPr>
        <w:t>include</w:t>
      </w:r>
      <w:r w:rsidR="008F3166">
        <w:rPr>
          <w:rFonts w:eastAsia="Times New Roman" w:cs="Times New Roman"/>
        </w:rPr>
        <w:t xml:space="preserve"> investments with</w:t>
      </w:r>
      <w:r w:rsidRPr="00AC1BF3">
        <w:rPr>
          <w:rFonts w:eastAsia="Times New Roman" w:cs="Times New Roman"/>
        </w:rPr>
        <w:t>:</w:t>
      </w:r>
    </w:p>
    <w:p w:rsidR="00AC1BF3" w:rsidRPr="00AC1BF3" w:rsidRDefault="00AC1BF3" w:rsidP="00887C31">
      <w:pPr>
        <w:numPr>
          <w:ilvl w:val="0"/>
          <w:numId w:val="2"/>
        </w:numPr>
        <w:spacing w:before="120"/>
        <w:ind w:left="357" w:hanging="357"/>
        <w:rPr>
          <w:rFonts w:eastAsia="Times New Roman" w:cs="Times New Roman"/>
        </w:rPr>
      </w:pPr>
      <w:r w:rsidRPr="00AC1BF3">
        <w:rPr>
          <w:rFonts w:eastAsia="Times New Roman" w:cs="Times New Roman"/>
        </w:rPr>
        <w:t>The UK Government (such as the Debt Management Account deposit facility, UK Treasury Bills or Gilts with less than one year to maturity).</w:t>
      </w:r>
    </w:p>
    <w:p w:rsidR="00AC1BF3" w:rsidRPr="00AC1BF3" w:rsidRDefault="00AC1BF3" w:rsidP="00887C31">
      <w:pPr>
        <w:numPr>
          <w:ilvl w:val="0"/>
          <w:numId w:val="2"/>
        </w:numPr>
        <w:spacing w:before="120"/>
        <w:ind w:left="357" w:hanging="357"/>
        <w:rPr>
          <w:rFonts w:eastAsia="Times New Roman" w:cs="Times New Roman"/>
        </w:rPr>
      </w:pPr>
      <w:r w:rsidRPr="00AC1BF3">
        <w:rPr>
          <w:rFonts w:eastAsia="Times New Roman" w:cs="Times New Roman"/>
        </w:rPr>
        <w:t>Supranational bonds of less than one year’s duration.</w:t>
      </w:r>
    </w:p>
    <w:p w:rsidR="00AC1BF3" w:rsidRPr="00AC1BF3" w:rsidRDefault="00AC1BF3" w:rsidP="00887C31">
      <w:pPr>
        <w:numPr>
          <w:ilvl w:val="0"/>
          <w:numId w:val="2"/>
        </w:numPr>
        <w:spacing w:before="120"/>
        <w:ind w:left="357" w:hanging="357"/>
        <w:rPr>
          <w:rFonts w:eastAsia="Times New Roman" w:cs="Times New Roman"/>
        </w:rPr>
      </w:pPr>
      <w:r w:rsidRPr="00AC1BF3">
        <w:rPr>
          <w:rFonts w:eastAsia="Times New Roman" w:cs="Times New Roman"/>
        </w:rPr>
        <w:t>A Local Authority, Parish Council, Community Council, Fire or Police Authority</w:t>
      </w:r>
    </w:p>
    <w:p w:rsidR="00AC1BF3" w:rsidRPr="00AC1BF3" w:rsidRDefault="00AC1BF3" w:rsidP="00887C31">
      <w:pPr>
        <w:numPr>
          <w:ilvl w:val="0"/>
          <w:numId w:val="2"/>
        </w:numPr>
        <w:spacing w:before="120"/>
        <w:ind w:left="357" w:hanging="357"/>
        <w:rPr>
          <w:rFonts w:eastAsia="Times New Roman" w:cs="Times New Roman"/>
          <w:i/>
        </w:rPr>
      </w:pPr>
      <w:r w:rsidRPr="00AC1BF3">
        <w:rPr>
          <w:rFonts w:eastAsia="Times New Roman" w:cs="Times New Roman"/>
        </w:rPr>
        <w:t>Pooled investment vehicles that have been awarded a high credit rating by a credit rating agency</w:t>
      </w:r>
      <w:r w:rsidR="00BC28DC">
        <w:rPr>
          <w:rFonts w:eastAsia="Times New Roman" w:cs="Times New Roman"/>
        </w:rPr>
        <w:t xml:space="preserve">, e.g. </w:t>
      </w:r>
      <w:r w:rsidRPr="00AC1BF3">
        <w:rPr>
          <w:rFonts w:eastAsia="Times New Roman" w:cs="Times New Roman"/>
        </w:rPr>
        <w:t>money market funds, rated AA by Standard and Poor’s, Moody’s or Fitch rating agencies</w:t>
      </w:r>
      <w:r w:rsidRPr="00AC1BF3">
        <w:rPr>
          <w:rFonts w:eastAsia="Times New Roman" w:cs="Times New Roman"/>
          <w:i/>
        </w:rPr>
        <w:t>.</w:t>
      </w:r>
    </w:p>
    <w:p w:rsidR="00AC1BF3" w:rsidRPr="00AC1BF3" w:rsidRDefault="00AC1BF3" w:rsidP="00887C31">
      <w:pPr>
        <w:numPr>
          <w:ilvl w:val="0"/>
          <w:numId w:val="2"/>
        </w:numPr>
        <w:spacing w:before="120"/>
        <w:ind w:left="357" w:hanging="357"/>
        <w:rPr>
          <w:rFonts w:eastAsia="Times New Roman" w:cs="Times New Roman"/>
          <w:i/>
        </w:rPr>
      </w:pPr>
      <w:r w:rsidRPr="00AC1BF3">
        <w:rPr>
          <w:rFonts w:eastAsia="Times New Roman" w:cs="Times New Roman"/>
        </w:rPr>
        <w:t xml:space="preserve">A body that is considered of a high credit quality (such as a bank or building society) meeting the minimum ‘high’ quality criteria where applicable.  </w:t>
      </w:r>
    </w:p>
    <w:p w:rsidR="00FB7E13" w:rsidRDefault="00FB7E13" w:rsidP="00AC1BF3">
      <w:pPr>
        <w:spacing w:before="120"/>
        <w:rPr>
          <w:rFonts w:eastAsia="Times New Roman" w:cs="Times New Roman"/>
        </w:rPr>
      </w:pPr>
      <w:r w:rsidRPr="00FB7E13">
        <w:rPr>
          <w:rFonts w:eastAsia="Times New Roman" w:cs="Times New Roman"/>
        </w:rPr>
        <w:t>Trades arranged up to four weeks in advance of the start date are still classified as Specified Investments provided the duration of the investment from the start date to the maturity is no longer than 36</w:t>
      </w:r>
      <w:r>
        <w:rPr>
          <w:rFonts w:eastAsia="Times New Roman" w:cs="Times New Roman"/>
        </w:rPr>
        <w:t>4</w:t>
      </w:r>
      <w:r w:rsidRPr="00FB7E13">
        <w:rPr>
          <w:rFonts w:eastAsia="Times New Roman" w:cs="Times New Roman"/>
        </w:rPr>
        <w:t xml:space="preserve"> days. Trade dates are factored into the duration of the investment if arranged more than four weeks in advance because there is an increased risk due to funds being contractually committed</w:t>
      </w:r>
      <w:r>
        <w:rPr>
          <w:rFonts w:eastAsia="Times New Roman" w:cs="Times New Roman"/>
        </w:rPr>
        <w:t>.</w:t>
      </w:r>
    </w:p>
    <w:p w:rsidR="00AC1BF3" w:rsidRPr="00AC1BF3" w:rsidRDefault="00AC1BF3" w:rsidP="00AC1BF3">
      <w:pPr>
        <w:spacing w:before="120"/>
        <w:rPr>
          <w:rFonts w:eastAsia="Times New Roman" w:cs="Times New Roman"/>
        </w:rPr>
      </w:pPr>
      <w:r w:rsidRPr="00AC1BF3">
        <w:rPr>
          <w:rFonts w:eastAsia="Times New Roman" w:cs="Times New Roman"/>
        </w:rPr>
        <w:t xml:space="preserve">Additionally, and in accordance with the Code, the Council has set duration and value limits as follows:  </w:t>
      </w:r>
    </w:p>
    <w:p w:rsidR="00AC1BF3" w:rsidRPr="00AC1BF3" w:rsidRDefault="00AC1BF3" w:rsidP="00AC1BF3">
      <w:pPr>
        <w:rPr>
          <w:rFonts w:eastAsia="Times New Roman" w:cs="Times New Roman"/>
        </w:rPr>
      </w:pPr>
      <w:r w:rsidRPr="00AC1BF3">
        <w:rPr>
          <w:rFonts w:eastAsia="Times New Roman" w:cs="Times New Roman"/>
        </w:rPr>
        <w:br w:type="page"/>
      </w:r>
    </w:p>
    <w:p w:rsidR="00AC1BF3" w:rsidRPr="00AC1BF3" w:rsidRDefault="00AC1BF3" w:rsidP="00AC1BF3">
      <w:pPr>
        <w:spacing w:before="120"/>
        <w:rPr>
          <w:rFonts w:eastAsia="Times New Roman" w:cs="Times New Roman"/>
          <w:b/>
        </w:rPr>
      </w:pPr>
      <w:r w:rsidRPr="00AC1BF3">
        <w:rPr>
          <w:rFonts w:eastAsia="Times New Roman" w:cs="Times New Roman"/>
          <w:b/>
        </w:rPr>
        <w:lastRenderedPageBreak/>
        <w:t>Specified Investments - Limits on value and period</w:t>
      </w:r>
    </w:p>
    <w:p w:rsidR="00AC1BF3" w:rsidRPr="00AC1BF3" w:rsidRDefault="00AC1BF3" w:rsidP="00AC1BF3">
      <w:pPr>
        <w:spacing w:before="120"/>
        <w:rPr>
          <w:rFonts w:eastAsia="Times New Roman" w:cs="Times New Roman"/>
        </w:rPr>
      </w:pPr>
    </w:p>
    <w:tbl>
      <w:tblPr>
        <w:tblW w:w="1006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340"/>
        <w:gridCol w:w="1620"/>
        <w:gridCol w:w="2216"/>
      </w:tblGrid>
      <w:tr w:rsidR="00AC1BF3" w:rsidRPr="00AC1BF3" w:rsidTr="00AC1BF3">
        <w:tc>
          <w:tcPr>
            <w:tcW w:w="3888" w:type="dxa"/>
            <w:shd w:val="clear" w:color="auto" w:fill="D9D9D9"/>
          </w:tcPr>
          <w:p w:rsidR="00AC1BF3" w:rsidRPr="00AC1BF3" w:rsidRDefault="00AC1BF3" w:rsidP="00AC1BF3">
            <w:pPr>
              <w:spacing w:before="120"/>
              <w:jc w:val="center"/>
              <w:rPr>
                <w:rFonts w:eastAsia="Times New Roman" w:cs="Times New Roman"/>
              </w:rPr>
            </w:pPr>
          </w:p>
        </w:tc>
        <w:tc>
          <w:tcPr>
            <w:tcW w:w="2340" w:type="dxa"/>
            <w:shd w:val="clear" w:color="auto" w:fill="D9D9D9"/>
          </w:tcPr>
          <w:p w:rsidR="00AC1BF3" w:rsidRPr="00AC1BF3" w:rsidRDefault="00AC1BF3" w:rsidP="00AC1BF3">
            <w:pPr>
              <w:spacing w:before="120"/>
              <w:jc w:val="center"/>
              <w:rPr>
                <w:rFonts w:eastAsia="Times New Roman" w:cs="Times New Roman"/>
                <w:b/>
              </w:rPr>
            </w:pPr>
            <w:r w:rsidRPr="00AC1BF3">
              <w:rPr>
                <w:rFonts w:eastAsia="Times New Roman" w:cs="Times New Roman"/>
                <w:b/>
              </w:rPr>
              <w:t>Minimum credit criteria/colour banding</w:t>
            </w:r>
          </w:p>
        </w:tc>
        <w:tc>
          <w:tcPr>
            <w:tcW w:w="1620" w:type="dxa"/>
            <w:shd w:val="clear" w:color="auto" w:fill="D9D9D9"/>
          </w:tcPr>
          <w:p w:rsidR="00AC1BF3" w:rsidRPr="00AC1BF3" w:rsidRDefault="00AC1BF3" w:rsidP="00AC1BF3">
            <w:pPr>
              <w:spacing w:before="120"/>
              <w:jc w:val="center"/>
              <w:rPr>
                <w:rFonts w:eastAsia="Times New Roman" w:cs="Times New Roman"/>
                <w:b/>
              </w:rPr>
            </w:pPr>
            <w:r w:rsidRPr="00AC1BF3">
              <w:rPr>
                <w:rFonts w:eastAsia="Times New Roman" w:cs="Times New Roman"/>
                <w:b/>
              </w:rPr>
              <w:t>Max % of total investments/ £ limit per institution</w:t>
            </w:r>
          </w:p>
        </w:tc>
        <w:tc>
          <w:tcPr>
            <w:tcW w:w="2216" w:type="dxa"/>
            <w:shd w:val="clear" w:color="auto" w:fill="D9D9D9"/>
          </w:tcPr>
          <w:p w:rsidR="00AC1BF3" w:rsidRPr="00AC1BF3" w:rsidRDefault="00AC1BF3" w:rsidP="00AC1BF3">
            <w:pPr>
              <w:spacing w:before="120"/>
              <w:jc w:val="center"/>
              <w:rPr>
                <w:rFonts w:eastAsia="Times New Roman" w:cs="Times New Roman"/>
                <w:b/>
              </w:rPr>
            </w:pPr>
            <w:r w:rsidRPr="00AC1BF3">
              <w:rPr>
                <w:rFonts w:eastAsia="Times New Roman" w:cs="Times New Roman"/>
                <w:b/>
              </w:rPr>
              <w:t>Max maturity period</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Debt Management Office – UK Government</w:t>
            </w:r>
          </w:p>
        </w:tc>
        <w:tc>
          <w:tcPr>
            <w:tcW w:w="234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Not applicable</w:t>
            </w: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100%</w:t>
            </w:r>
          </w:p>
        </w:tc>
        <w:tc>
          <w:tcPr>
            <w:tcW w:w="2216" w:type="dxa"/>
            <w:shd w:val="clear" w:color="auto" w:fill="auto"/>
          </w:tcPr>
          <w:p w:rsidR="00AC1BF3" w:rsidRPr="00AC1BF3" w:rsidRDefault="00AC1BF3" w:rsidP="000658BB">
            <w:pPr>
              <w:spacing w:before="120"/>
              <w:rPr>
                <w:rFonts w:eastAsia="Times New Roman" w:cs="Times New Roman"/>
              </w:rPr>
            </w:pPr>
            <w:r w:rsidRPr="00AC1BF3">
              <w:rPr>
                <w:rFonts w:eastAsia="Times New Roman" w:cs="Times New Roman"/>
              </w:rPr>
              <w:t>36</w:t>
            </w:r>
            <w:r w:rsidR="000658BB">
              <w:rPr>
                <w:rFonts w:eastAsia="Times New Roman" w:cs="Times New Roman"/>
              </w:rPr>
              <w:t>4</w:t>
            </w:r>
            <w:r w:rsidRPr="00AC1BF3">
              <w:rPr>
                <w:rFonts w:eastAsia="Times New Roman" w:cs="Times New Roman"/>
              </w:rPr>
              <w:t xml:space="preserve"> days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UK Government Gilts</w:t>
            </w:r>
          </w:p>
        </w:tc>
        <w:tc>
          <w:tcPr>
            <w:tcW w:w="234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UK Sovereign rating</w:t>
            </w: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AC1BF3" w:rsidP="00D565C7">
            <w:pPr>
              <w:spacing w:before="120"/>
              <w:rPr>
                <w:rFonts w:eastAsia="Times New Roman" w:cs="Times New Roman"/>
              </w:rPr>
            </w:pPr>
            <w:r w:rsidRPr="00AC1BF3">
              <w:rPr>
                <w:rFonts w:eastAsia="Times New Roman" w:cs="Times New Roman"/>
              </w:rPr>
              <w:t>36</w:t>
            </w:r>
            <w:r w:rsidR="000658BB">
              <w:rPr>
                <w:rFonts w:eastAsia="Times New Roman" w:cs="Times New Roman"/>
              </w:rPr>
              <w:t>4</w:t>
            </w:r>
            <w:r w:rsidRPr="00AC1BF3">
              <w:rPr>
                <w:rFonts w:eastAsia="Times New Roman" w:cs="Times New Roman"/>
              </w:rPr>
              <w:t xml:space="preserve"> days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UK Government Treasury Bills</w:t>
            </w:r>
          </w:p>
        </w:tc>
        <w:tc>
          <w:tcPr>
            <w:tcW w:w="234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UK Sovereign rating</w:t>
            </w: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AC1BF3" w:rsidP="000658BB">
            <w:pPr>
              <w:spacing w:before="120"/>
              <w:rPr>
                <w:rFonts w:eastAsia="Times New Roman" w:cs="Times New Roman"/>
              </w:rPr>
            </w:pPr>
            <w:r w:rsidRPr="00AC1BF3">
              <w:rPr>
                <w:rFonts w:eastAsia="Times New Roman" w:cs="Times New Roman"/>
              </w:rPr>
              <w:t>36</w:t>
            </w:r>
            <w:r w:rsidR="000658BB">
              <w:rPr>
                <w:rFonts w:eastAsia="Times New Roman" w:cs="Times New Roman"/>
              </w:rPr>
              <w:t>4</w:t>
            </w:r>
            <w:r w:rsidRPr="00AC1BF3">
              <w:rPr>
                <w:rFonts w:eastAsia="Times New Roman" w:cs="Times New Roman"/>
              </w:rPr>
              <w:t xml:space="preserve"> days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Bonds issued by multilateral development banks</w:t>
            </w:r>
          </w:p>
        </w:tc>
        <w:tc>
          <w:tcPr>
            <w:tcW w:w="234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UK Sovereign rating</w:t>
            </w: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6 months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Money Market Fund</w:t>
            </w:r>
            <w:r w:rsidR="00D565C7">
              <w:rPr>
                <w:rFonts w:eastAsia="Times New Roman" w:cs="Times New Roman"/>
              </w:rPr>
              <w:t>s</w:t>
            </w:r>
          </w:p>
        </w:tc>
        <w:tc>
          <w:tcPr>
            <w:tcW w:w="234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AAA</w:t>
            </w:r>
          </w:p>
        </w:tc>
        <w:tc>
          <w:tcPr>
            <w:tcW w:w="1620" w:type="dxa"/>
            <w:shd w:val="clear" w:color="auto" w:fill="auto"/>
          </w:tcPr>
          <w:p w:rsidR="00AC1BF3" w:rsidRPr="00AC1BF3" w:rsidRDefault="00AC1BF3" w:rsidP="00F874C7">
            <w:pPr>
              <w:spacing w:before="120"/>
              <w:rPr>
                <w:rFonts w:eastAsia="Times New Roman" w:cs="Times New Roman"/>
              </w:rPr>
            </w:pPr>
            <w:r w:rsidRPr="00AC1BF3">
              <w:rPr>
                <w:rFonts w:eastAsia="Times New Roman" w:cs="Times New Roman"/>
              </w:rPr>
              <w:t>£2</w:t>
            </w:r>
            <w:r w:rsidR="00F874C7">
              <w:rPr>
                <w:rFonts w:eastAsia="Times New Roman" w:cs="Times New Roman"/>
              </w:rPr>
              <w:t>5</w:t>
            </w:r>
            <w:r w:rsidRPr="00AC1BF3">
              <w:rPr>
                <w:rFonts w:eastAsia="Times New Roman" w:cs="Times New Roman"/>
              </w:rPr>
              <w:t>m</w:t>
            </w:r>
          </w:p>
        </w:tc>
        <w:tc>
          <w:tcPr>
            <w:tcW w:w="2216"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Liquid</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 xml:space="preserve">Local Authorities, Fire and Police Authorities </w:t>
            </w:r>
          </w:p>
        </w:tc>
        <w:tc>
          <w:tcPr>
            <w:tcW w:w="2340" w:type="dxa"/>
            <w:shd w:val="clear" w:color="auto" w:fill="auto"/>
          </w:tcPr>
          <w:p w:rsidR="00AC1BF3" w:rsidRPr="00AC1BF3" w:rsidRDefault="00AC1BF3" w:rsidP="00AC1BF3">
            <w:pPr>
              <w:spacing w:before="120"/>
              <w:rPr>
                <w:rFonts w:eastAsia="Times New Roman" w:cs="Times New Roman"/>
              </w:rPr>
            </w:pP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0658BB" w:rsidP="000658BB">
            <w:pPr>
              <w:spacing w:before="120"/>
              <w:rPr>
                <w:rFonts w:eastAsia="Times New Roman" w:cs="Times New Roman"/>
              </w:rPr>
            </w:pPr>
            <w:r w:rsidRPr="00AC1BF3">
              <w:rPr>
                <w:rFonts w:eastAsia="Times New Roman" w:cs="Times New Roman"/>
              </w:rPr>
              <w:t>36</w:t>
            </w:r>
            <w:r>
              <w:rPr>
                <w:rFonts w:eastAsia="Times New Roman" w:cs="Times New Roman"/>
              </w:rPr>
              <w:t>4</w:t>
            </w:r>
            <w:r w:rsidRPr="00AC1BF3">
              <w:rPr>
                <w:rFonts w:eastAsia="Times New Roman" w:cs="Times New Roman"/>
              </w:rPr>
              <w:t xml:space="preserve"> </w:t>
            </w:r>
            <w:r w:rsidR="00AC1BF3" w:rsidRPr="00AC1BF3">
              <w:rPr>
                <w:rFonts w:eastAsia="Times New Roman" w:cs="Times New Roman"/>
              </w:rPr>
              <w:t>days</w:t>
            </w:r>
          </w:p>
        </w:tc>
      </w:tr>
      <w:tr w:rsidR="00AC1BF3" w:rsidRPr="00AC1BF3" w:rsidTr="00AC1BF3">
        <w:tc>
          <w:tcPr>
            <w:tcW w:w="3888"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Term deposits with banks and rated building societies</w:t>
            </w:r>
          </w:p>
        </w:tc>
        <w:tc>
          <w:tcPr>
            <w:tcW w:w="2340"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Blue</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Orange</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Red</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Green</w:t>
            </w:r>
          </w:p>
        </w:tc>
        <w:tc>
          <w:tcPr>
            <w:tcW w:w="1620"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£15m or 20% of total investments whichever is the greater</w:t>
            </w:r>
          </w:p>
        </w:tc>
        <w:tc>
          <w:tcPr>
            <w:tcW w:w="2216"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1 year</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1 year</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6 Months</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100 days</w:t>
            </w:r>
          </w:p>
        </w:tc>
      </w:tr>
      <w:tr w:rsidR="00AC1BF3" w:rsidRPr="00AC1BF3" w:rsidTr="00AC1BF3">
        <w:tc>
          <w:tcPr>
            <w:tcW w:w="3888" w:type="dxa"/>
            <w:shd w:val="clear" w:color="auto" w:fill="auto"/>
            <w:vAlign w:val="center"/>
          </w:tcPr>
          <w:p w:rsidR="00AC1BF3" w:rsidRPr="00AC1BF3" w:rsidRDefault="00F27EC0" w:rsidP="00AC1BF3">
            <w:pPr>
              <w:numPr>
                <w:ilvl w:val="12"/>
                <w:numId w:val="0"/>
              </w:numPr>
              <w:tabs>
                <w:tab w:val="left" w:pos="360"/>
              </w:tabs>
              <w:rPr>
                <w:rFonts w:eastAsia="Times New Roman"/>
                <w:noProof/>
              </w:rPr>
            </w:pPr>
            <w:r>
              <w:rPr>
                <w:rFonts w:eastAsia="Times New Roman"/>
                <w:noProof/>
              </w:rPr>
              <w:t>C</w:t>
            </w:r>
            <w:r w:rsidR="00AC1BF3" w:rsidRPr="00AC1BF3">
              <w:rPr>
                <w:rFonts w:eastAsia="Times New Roman"/>
                <w:noProof/>
              </w:rPr>
              <w:t>ertificate of Deposit or corporate bonds  with banks and building societies</w:t>
            </w:r>
          </w:p>
        </w:tc>
        <w:tc>
          <w:tcPr>
            <w:tcW w:w="2340"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Blue</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Orange</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Red</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Green</w:t>
            </w:r>
          </w:p>
        </w:tc>
        <w:tc>
          <w:tcPr>
            <w:tcW w:w="1620"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£10m or 20% of total investmentswhichever is the greater</w:t>
            </w:r>
          </w:p>
        </w:tc>
        <w:tc>
          <w:tcPr>
            <w:tcW w:w="2216"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1 year</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1 year</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6 Months</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100 days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Enhanced Cash funds</w:t>
            </w:r>
          </w:p>
        </w:tc>
        <w:tc>
          <w:tcPr>
            <w:tcW w:w="2340" w:type="dxa"/>
            <w:shd w:val="clear" w:color="auto" w:fill="auto"/>
          </w:tcPr>
          <w:p w:rsidR="00AC1BF3" w:rsidRPr="00AC1BF3" w:rsidRDefault="00AC1BF3" w:rsidP="00AC1BF3">
            <w:pPr>
              <w:spacing w:before="120"/>
              <w:rPr>
                <w:rFonts w:eastAsia="Times New Roman" w:cs="Times New Roman"/>
              </w:rPr>
            </w:pP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6 months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Corporate bond funds</w:t>
            </w:r>
          </w:p>
        </w:tc>
        <w:tc>
          <w:tcPr>
            <w:tcW w:w="2340" w:type="dxa"/>
            <w:shd w:val="clear" w:color="auto" w:fill="auto"/>
          </w:tcPr>
          <w:p w:rsidR="00AC1BF3" w:rsidRPr="00AC1BF3" w:rsidRDefault="00AC1BF3" w:rsidP="00AC1BF3">
            <w:pPr>
              <w:spacing w:before="120"/>
              <w:rPr>
                <w:rFonts w:eastAsia="Times New Roman" w:cs="Times New Roman"/>
              </w:rPr>
            </w:pP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6 months</w:t>
            </w:r>
          </w:p>
        </w:tc>
      </w:tr>
      <w:tr w:rsidR="00AC1BF3" w:rsidRPr="00AC1BF3" w:rsidTr="00AC1BF3">
        <w:tc>
          <w:tcPr>
            <w:tcW w:w="3888"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Gilt Funds</w:t>
            </w:r>
          </w:p>
        </w:tc>
        <w:tc>
          <w:tcPr>
            <w:tcW w:w="234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UK sovereign rating</w:t>
            </w:r>
          </w:p>
        </w:tc>
        <w:tc>
          <w:tcPr>
            <w:tcW w:w="1620"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20%</w:t>
            </w:r>
          </w:p>
        </w:tc>
        <w:tc>
          <w:tcPr>
            <w:tcW w:w="2216"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6 months</w:t>
            </w:r>
          </w:p>
        </w:tc>
      </w:tr>
    </w:tbl>
    <w:p w:rsidR="00AC1BF3" w:rsidRPr="00AC1BF3" w:rsidRDefault="00AC1BF3" w:rsidP="00AC1BF3">
      <w:pPr>
        <w:spacing w:before="120"/>
        <w:jc w:val="both"/>
        <w:rPr>
          <w:rFonts w:eastAsia="Times New Roman" w:cs="Times New Roman"/>
        </w:rPr>
      </w:pPr>
      <w:r w:rsidRPr="00AC1BF3">
        <w:rPr>
          <w:rFonts w:eastAsia="Times New Roman" w:cs="Times New Roman"/>
        </w:rPr>
        <w:t xml:space="preserve">The colour ratings above for the </w:t>
      </w:r>
      <w:r w:rsidRPr="00AC1BF3">
        <w:rPr>
          <w:rFonts w:eastAsia="Times New Roman"/>
          <w:noProof/>
        </w:rPr>
        <w:t xml:space="preserve">Term </w:t>
      </w:r>
      <w:r w:rsidR="008F3166">
        <w:rPr>
          <w:rFonts w:eastAsia="Times New Roman"/>
          <w:noProof/>
        </w:rPr>
        <w:t>D</w:t>
      </w:r>
      <w:r w:rsidRPr="00AC1BF3">
        <w:rPr>
          <w:rFonts w:eastAsia="Times New Roman"/>
          <w:noProof/>
        </w:rPr>
        <w:t xml:space="preserve">eposits with banks and rated building societies and Certificates of Deposit or </w:t>
      </w:r>
      <w:r w:rsidR="008F3166">
        <w:rPr>
          <w:rFonts w:eastAsia="Times New Roman"/>
          <w:noProof/>
        </w:rPr>
        <w:t>C</w:t>
      </w:r>
      <w:r w:rsidRPr="00AC1BF3">
        <w:rPr>
          <w:rFonts w:eastAsia="Times New Roman"/>
          <w:noProof/>
        </w:rPr>
        <w:t xml:space="preserve">orporate </w:t>
      </w:r>
      <w:r w:rsidR="008F3166">
        <w:rPr>
          <w:rFonts w:eastAsia="Times New Roman"/>
          <w:noProof/>
        </w:rPr>
        <w:t>B</w:t>
      </w:r>
      <w:r w:rsidRPr="00AC1BF3">
        <w:rPr>
          <w:rFonts w:eastAsia="Times New Roman"/>
          <w:noProof/>
        </w:rPr>
        <w:t xml:space="preserve">onds  with banks and building societies link the durations in the right hand column to colour coding used in </w:t>
      </w:r>
      <w:r w:rsidR="00D565C7">
        <w:rPr>
          <w:rFonts w:eastAsia="Times New Roman"/>
          <w:noProof/>
        </w:rPr>
        <w:t>Link Asset Services</w:t>
      </w:r>
      <w:r w:rsidRPr="00AC1BF3">
        <w:rPr>
          <w:rFonts w:eastAsia="Times New Roman"/>
          <w:noProof/>
        </w:rPr>
        <w:t xml:space="preserve">’s Credit List i.e. </w:t>
      </w:r>
      <w:r w:rsidR="000C19B6">
        <w:rPr>
          <w:rFonts w:eastAsia="Times New Roman"/>
          <w:noProof/>
        </w:rPr>
        <w:t>b</w:t>
      </w:r>
      <w:r w:rsidRPr="00AC1BF3">
        <w:rPr>
          <w:rFonts w:eastAsia="Times New Roman"/>
          <w:noProof/>
        </w:rPr>
        <w:t xml:space="preserve">lue and </w:t>
      </w:r>
      <w:r w:rsidR="000C19B6">
        <w:rPr>
          <w:rFonts w:eastAsia="Times New Roman"/>
          <w:noProof/>
        </w:rPr>
        <w:t>o</w:t>
      </w:r>
      <w:r w:rsidRPr="00AC1BF3">
        <w:rPr>
          <w:rFonts w:eastAsia="Times New Roman"/>
          <w:noProof/>
        </w:rPr>
        <w:t xml:space="preserve">range coloured institutions </w:t>
      </w:r>
      <w:r w:rsidR="00ED3400">
        <w:rPr>
          <w:rFonts w:eastAsia="Times New Roman"/>
          <w:noProof/>
        </w:rPr>
        <w:t xml:space="preserve">recommend </w:t>
      </w:r>
      <w:r w:rsidRPr="00AC1BF3">
        <w:rPr>
          <w:rFonts w:eastAsia="Times New Roman"/>
          <w:noProof/>
        </w:rPr>
        <w:t xml:space="preserve">investments of upto a year according to the </w:t>
      </w:r>
      <w:r w:rsidR="00D565C7">
        <w:rPr>
          <w:rFonts w:eastAsia="Times New Roman"/>
          <w:noProof/>
        </w:rPr>
        <w:t>Link</w:t>
      </w:r>
      <w:r w:rsidRPr="00AC1BF3">
        <w:rPr>
          <w:rFonts w:eastAsia="Times New Roman"/>
          <w:noProof/>
        </w:rPr>
        <w:t xml:space="preserve"> </w:t>
      </w:r>
      <w:r w:rsidR="00D565C7">
        <w:rPr>
          <w:rFonts w:eastAsia="Times New Roman"/>
          <w:noProof/>
        </w:rPr>
        <w:t xml:space="preserve">Asset Services </w:t>
      </w:r>
      <w:r w:rsidRPr="00AC1BF3">
        <w:rPr>
          <w:rFonts w:eastAsia="Times New Roman"/>
          <w:noProof/>
        </w:rPr>
        <w:t xml:space="preserve">Credit List </w:t>
      </w:r>
    </w:p>
    <w:p w:rsidR="00AC1BF3" w:rsidRPr="00AC1BF3" w:rsidRDefault="00AC1BF3" w:rsidP="00AC1BF3">
      <w:pPr>
        <w:rPr>
          <w:rFonts w:eastAsia="Times New Roman" w:cs="Times New Roman"/>
          <w:b/>
        </w:rPr>
      </w:pPr>
      <w:r w:rsidRPr="00AC1BF3">
        <w:rPr>
          <w:rFonts w:eastAsia="Times New Roman" w:cs="Times New Roman"/>
          <w:b/>
        </w:rPr>
        <w:br w:type="page"/>
      </w:r>
    </w:p>
    <w:p w:rsidR="00AC1BF3" w:rsidRPr="00AC1BF3" w:rsidRDefault="00AC1BF3" w:rsidP="00AC1BF3">
      <w:pPr>
        <w:spacing w:before="120"/>
        <w:rPr>
          <w:rFonts w:eastAsia="Times New Roman" w:cs="Times New Roman"/>
        </w:rPr>
      </w:pPr>
      <w:r w:rsidRPr="00AC1BF3">
        <w:rPr>
          <w:rFonts w:eastAsia="Times New Roman" w:cs="Times New Roman"/>
          <w:b/>
        </w:rPr>
        <w:lastRenderedPageBreak/>
        <w:t>Non-Specified Investments</w:t>
      </w:r>
      <w:r w:rsidRPr="00AC1BF3">
        <w:rPr>
          <w:rFonts w:eastAsia="Times New Roman" w:cs="Times New Roman"/>
        </w:rPr>
        <w:t xml:space="preserve"> – Non-specified investments are any other type of investment not defined as Specified.  The identification and rationale supporting the selection of these other investments and the maximum limits to be applied are set out below.  Overall Non-specified investments (excluding loans to a company in which the Council has an interest) will not exceed more than </w:t>
      </w:r>
      <w:r w:rsidR="005E460D">
        <w:rPr>
          <w:rFonts w:eastAsia="Times New Roman" w:cs="Times New Roman"/>
        </w:rPr>
        <w:t>30</w:t>
      </w:r>
      <w:r w:rsidRPr="00AC1BF3">
        <w:rPr>
          <w:rFonts w:eastAsia="Times New Roman" w:cs="Times New Roman"/>
        </w:rPr>
        <w:t xml:space="preserve">% of the previous </w:t>
      </w:r>
      <w:r w:rsidR="00FB7E13">
        <w:rPr>
          <w:rFonts w:eastAsia="Times New Roman" w:cs="Times New Roman"/>
        </w:rPr>
        <w:t xml:space="preserve">calendar </w:t>
      </w:r>
      <w:r w:rsidRPr="00AC1BF3">
        <w:rPr>
          <w:rFonts w:eastAsia="Times New Roman" w:cs="Times New Roman"/>
        </w:rPr>
        <w:t>year’s total investment portfolio</w:t>
      </w:r>
      <w:r w:rsidR="00D565C7">
        <w:rPr>
          <w:rFonts w:eastAsia="Times New Roman" w:cs="Times New Roman"/>
        </w:rPr>
        <w:t xml:space="preserve"> or £</w:t>
      </w:r>
      <w:r w:rsidR="005E460D">
        <w:rPr>
          <w:rFonts w:eastAsia="Times New Roman" w:cs="Times New Roman"/>
        </w:rPr>
        <w:t>30</w:t>
      </w:r>
      <w:r w:rsidR="00D565C7">
        <w:rPr>
          <w:rFonts w:eastAsia="Times New Roman" w:cs="Times New Roman"/>
        </w:rPr>
        <w:t xml:space="preserve"> million, whichever is the greater</w:t>
      </w:r>
      <w:r w:rsidRPr="00AC1BF3">
        <w:rPr>
          <w:rFonts w:eastAsia="Times New Roman" w:cs="Times New Roman"/>
        </w:rPr>
        <w:t>. The level of investment in a particular counterparty will be measured based on the amount of the initial investment.  Non specified Investments would include any sterling investments with:</w:t>
      </w:r>
    </w:p>
    <w:p w:rsidR="00AC1BF3" w:rsidRPr="00AC1BF3" w:rsidRDefault="00AC1BF3" w:rsidP="00AC1BF3">
      <w:pPr>
        <w:spacing w:before="120"/>
        <w:rPr>
          <w:rFonts w:eastAsia="Times New Roman" w:cs="Times New Roman"/>
          <w:b/>
        </w:rPr>
      </w:pPr>
      <w:r w:rsidRPr="00AC1BF3">
        <w:rPr>
          <w:rFonts w:eastAsia="Times New Roman" w:cs="Times New Roman"/>
          <w:b/>
        </w:rPr>
        <w:t>Non-Specified Investments - Limits on value and period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2234"/>
        <w:gridCol w:w="1817"/>
        <w:gridCol w:w="1956"/>
      </w:tblGrid>
      <w:tr w:rsidR="00AC1BF3" w:rsidRPr="00AC1BF3" w:rsidTr="00F30835">
        <w:tc>
          <w:tcPr>
            <w:tcW w:w="3821" w:type="dxa"/>
            <w:shd w:val="clear" w:color="auto" w:fill="D9D9D9"/>
          </w:tcPr>
          <w:p w:rsidR="00AC1BF3" w:rsidRPr="00AC1BF3" w:rsidRDefault="00AC1BF3" w:rsidP="00AC1BF3">
            <w:pPr>
              <w:rPr>
                <w:rFonts w:eastAsia="Times New Roman" w:cs="Times New Roman"/>
              </w:rPr>
            </w:pPr>
          </w:p>
        </w:tc>
        <w:tc>
          <w:tcPr>
            <w:tcW w:w="2234" w:type="dxa"/>
            <w:shd w:val="clear" w:color="auto" w:fill="D9D9D9"/>
          </w:tcPr>
          <w:p w:rsidR="00AC1BF3" w:rsidRPr="00AC1BF3" w:rsidRDefault="00AC1BF3" w:rsidP="00AC1BF3">
            <w:pPr>
              <w:jc w:val="center"/>
              <w:rPr>
                <w:rFonts w:eastAsia="Times New Roman" w:cs="Times New Roman"/>
                <w:b/>
              </w:rPr>
            </w:pPr>
            <w:r w:rsidRPr="00AC1BF3">
              <w:rPr>
                <w:rFonts w:eastAsia="Times New Roman" w:cs="Times New Roman"/>
                <w:b/>
              </w:rPr>
              <w:t>Minimum Credit Criteria</w:t>
            </w:r>
          </w:p>
        </w:tc>
        <w:tc>
          <w:tcPr>
            <w:tcW w:w="1817" w:type="dxa"/>
            <w:shd w:val="clear" w:color="auto" w:fill="D9D9D9"/>
          </w:tcPr>
          <w:p w:rsidR="00AC1BF3" w:rsidRPr="00AC1BF3" w:rsidRDefault="00AC1BF3" w:rsidP="00AC1BF3">
            <w:pPr>
              <w:jc w:val="center"/>
              <w:rPr>
                <w:rFonts w:eastAsia="Times New Roman" w:cs="Times New Roman"/>
                <w:b/>
              </w:rPr>
            </w:pPr>
            <w:r w:rsidRPr="00AC1BF3">
              <w:rPr>
                <w:rFonts w:eastAsia="Times New Roman" w:cs="Times New Roman"/>
                <w:b/>
              </w:rPr>
              <w:t>Max % of total investments/£ limit per institution</w:t>
            </w:r>
          </w:p>
        </w:tc>
        <w:tc>
          <w:tcPr>
            <w:tcW w:w="1956" w:type="dxa"/>
            <w:shd w:val="clear" w:color="auto" w:fill="D9D9D9"/>
          </w:tcPr>
          <w:p w:rsidR="00AC1BF3" w:rsidRPr="00AC1BF3" w:rsidRDefault="00AC1BF3" w:rsidP="00AC1BF3">
            <w:pPr>
              <w:jc w:val="center"/>
              <w:rPr>
                <w:rFonts w:eastAsia="Times New Roman" w:cs="Times New Roman"/>
                <w:b/>
              </w:rPr>
            </w:pPr>
            <w:r w:rsidRPr="00AC1BF3">
              <w:rPr>
                <w:rFonts w:eastAsia="Times New Roman" w:cs="Times New Roman"/>
                <w:b/>
              </w:rPr>
              <w:t>Max maturity period</w:t>
            </w:r>
          </w:p>
        </w:tc>
      </w:tr>
      <w:tr w:rsidR="00AC1BF3" w:rsidRPr="00AC1BF3" w:rsidTr="00F30835">
        <w:tc>
          <w:tcPr>
            <w:tcW w:w="3821" w:type="dxa"/>
            <w:shd w:val="clear" w:color="auto" w:fill="auto"/>
          </w:tcPr>
          <w:p w:rsidR="00AC1BF3" w:rsidRPr="00AC1BF3" w:rsidRDefault="00AC1BF3" w:rsidP="00AC1BF3">
            <w:pPr>
              <w:spacing w:before="120"/>
              <w:rPr>
                <w:rFonts w:eastAsia="Times New Roman" w:cs="Times New Roman"/>
              </w:rPr>
            </w:pPr>
            <w:r w:rsidRPr="00AC1BF3">
              <w:rPr>
                <w:rFonts w:eastAsia="Times New Roman" w:cs="Times New Roman"/>
              </w:rPr>
              <w:t xml:space="preserve">Local Authorities, Fire and Police Authorities </w:t>
            </w:r>
          </w:p>
        </w:tc>
        <w:tc>
          <w:tcPr>
            <w:tcW w:w="2234" w:type="dxa"/>
            <w:shd w:val="clear" w:color="auto" w:fill="auto"/>
          </w:tcPr>
          <w:p w:rsidR="00AC1BF3" w:rsidRPr="00AC1BF3" w:rsidRDefault="00AC1BF3" w:rsidP="00AC1BF3">
            <w:pPr>
              <w:rPr>
                <w:rFonts w:eastAsia="Times New Roman" w:cs="Times New Roman"/>
              </w:rPr>
            </w:pP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15%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Up to 2 years</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Fixed term deposits with variable rate and variable maturities</w:t>
            </w:r>
          </w:p>
        </w:tc>
        <w:tc>
          <w:tcPr>
            <w:tcW w:w="2234"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Orange</w:t>
            </w: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15%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Up to 1 year</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Fixed term deposits with variable rate and variable maturities</w:t>
            </w:r>
          </w:p>
        </w:tc>
        <w:tc>
          <w:tcPr>
            <w:tcW w:w="2234"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Yellow</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Purple</w:t>
            </w:r>
          </w:p>
          <w:p w:rsidR="00AC1BF3" w:rsidRPr="00AC1BF3" w:rsidRDefault="00AC1BF3" w:rsidP="00AC1BF3">
            <w:pPr>
              <w:numPr>
                <w:ilvl w:val="12"/>
                <w:numId w:val="0"/>
              </w:numPr>
              <w:tabs>
                <w:tab w:val="left" w:pos="360"/>
              </w:tabs>
              <w:rPr>
                <w:rFonts w:eastAsia="Times New Roman" w:cs="Times New Roman"/>
              </w:rPr>
            </w:pPr>
          </w:p>
        </w:tc>
        <w:tc>
          <w:tcPr>
            <w:tcW w:w="1817" w:type="dxa"/>
            <w:shd w:val="clear" w:color="auto" w:fill="auto"/>
            <w:vAlign w:val="center"/>
          </w:tcPr>
          <w:p w:rsidR="00AC1BF3" w:rsidRPr="00AC1BF3" w:rsidRDefault="00AC1BF3" w:rsidP="00AC1BF3">
            <w:pPr>
              <w:rPr>
                <w:rFonts w:eastAsia="Times New Roman" w:cs="Times New Roman"/>
              </w:rPr>
            </w:pPr>
            <w:r w:rsidRPr="00AC1BF3">
              <w:rPr>
                <w:rFonts w:eastAsia="Times New Roman"/>
                <w:noProof/>
              </w:rPr>
              <w:t>£10m or 20% of total investments</w:t>
            </w:r>
          </w:p>
        </w:tc>
        <w:tc>
          <w:tcPr>
            <w:tcW w:w="1956" w:type="dxa"/>
            <w:shd w:val="clear" w:color="auto" w:fill="auto"/>
            <w:vAlign w:val="center"/>
          </w:tcPr>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5 years</w:t>
            </w:r>
          </w:p>
          <w:p w:rsidR="00AC1BF3" w:rsidRPr="00AC1BF3" w:rsidRDefault="00AC1BF3" w:rsidP="00AC1BF3">
            <w:pPr>
              <w:numPr>
                <w:ilvl w:val="12"/>
                <w:numId w:val="0"/>
              </w:numPr>
              <w:tabs>
                <w:tab w:val="left" w:pos="360"/>
              </w:tabs>
              <w:rPr>
                <w:rFonts w:eastAsia="Times New Roman"/>
                <w:noProof/>
              </w:rPr>
            </w:pPr>
            <w:r w:rsidRPr="00AC1BF3">
              <w:rPr>
                <w:rFonts w:eastAsia="Times New Roman"/>
                <w:noProof/>
              </w:rPr>
              <w:t>Up to 2 years</w:t>
            </w:r>
          </w:p>
          <w:p w:rsidR="00AC1BF3" w:rsidRPr="00AC1BF3" w:rsidRDefault="00AC1BF3" w:rsidP="00AC1BF3">
            <w:pPr>
              <w:numPr>
                <w:ilvl w:val="12"/>
                <w:numId w:val="0"/>
              </w:numPr>
              <w:tabs>
                <w:tab w:val="left" w:pos="360"/>
              </w:tabs>
              <w:rPr>
                <w:rFonts w:eastAsia="Times New Roman" w:cs="Times New Roman"/>
              </w:rPr>
            </w:pP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Commercial paper issuance covered by a specific UK Government (explicit) guarantee</w:t>
            </w:r>
          </w:p>
        </w:tc>
        <w:tc>
          <w:tcPr>
            <w:tcW w:w="2234" w:type="dxa"/>
            <w:shd w:val="clear" w:color="auto" w:fill="auto"/>
          </w:tcPr>
          <w:p w:rsidR="00AC1BF3" w:rsidRPr="00AC1BF3" w:rsidRDefault="00AC1BF3" w:rsidP="00AC1BF3">
            <w:pPr>
              <w:rPr>
                <w:rFonts w:eastAsia="Times New Roman" w:cs="Times New Roman"/>
              </w:rPr>
            </w:pP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10%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Up to 1 year</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Fixed term deposits with unrated Building Societies</w:t>
            </w:r>
          </w:p>
        </w:tc>
        <w:tc>
          <w:tcPr>
            <w:tcW w:w="2234"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Asset Base over £9bn</w:t>
            </w: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£3m – 20%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100 days</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Commercial paper other</w:t>
            </w:r>
          </w:p>
        </w:tc>
        <w:tc>
          <w:tcPr>
            <w:tcW w:w="2234" w:type="dxa"/>
            <w:shd w:val="clear" w:color="auto" w:fill="auto"/>
          </w:tcPr>
          <w:p w:rsidR="00AC1BF3" w:rsidRPr="00AC1BF3" w:rsidRDefault="00AC1BF3" w:rsidP="00AC1BF3">
            <w:pPr>
              <w:rPr>
                <w:rFonts w:eastAsia="Times New Roman" w:cs="Times New Roman"/>
              </w:rPr>
            </w:pP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15%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Up to 1 year</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 xml:space="preserve">Corporate </w:t>
            </w:r>
            <w:r w:rsidR="002714B2">
              <w:rPr>
                <w:rFonts w:eastAsia="Times New Roman" w:cs="Times New Roman"/>
              </w:rPr>
              <w:t xml:space="preserve">and other </w:t>
            </w:r>
            <w:r w:rsidRPr="00AC1BF3">
              <w:rPr>
                <w:rFonts w:eastAsia="Times New Roman" w:cs="Times New Roman"/>
              </w:rPr>
              <w:t>bonds</w:t>
            </w:r>
          </w:p>
        </w:tc>
        <w:tc>
          <w:tcPr>
            <w:tcW w:w="2234" w:type="dxa"/>
            <w:shd w:val="clear" w:color="auto" w:fill="auto"/>
          </w:tcPr>
          <w:p w:rsidR="00AC1BF3" w:rsidRPr="00AC1BF3" w:rsidRDefault="00AC1BF3" w:rsidP="00AC1BF3">
            <w:pPr>
              <w:rPr>
                <w:rFonts w:eastAsia="Times New Roman" w:cs="Times New Roman"/>
              </w:rPr>
            </w:pP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15% of total investments</w:t>
            </w:r>
          </w:p>
        </w:tc>
        <w:tc>
          <w:tcPr>
            <w:tcW w:w="1956" w:type="dxa"/>
            <w:shd w:val="clear" w:color="auto" w:fill="auto"/>
          </w:tcPr>
          <w:p w:rsidR="00AC1BF3" w:rsidRPr="00AC1BF3" w:rsidRDefault="00F91D1C" w:rsidP="00AC1BF3">
            <w:pPr>
              <w:rPr>
                <w:rFonts w:eastAsia="Times New Roman" w:cs="Times New Roman"/>
              </w:rPr>
            </w:pPr>
            <w:r w:rsidRPr="00F91D1C">
              <w:rPr>
                <w:rFonts w:eastAsia="Times New Roman" w:cs="Times New Roman"/>
              </w:rPr>
              <w:t>Medium to long term</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Other debt issuance by UK banks covered  by UK Government (explicit) guarantee</w:t>
            </w:r>
          </w:p>
        </w:tc>
        <w:tc>
          <w:tcPr>
            <w:tcW w:w="2234" w:type="dxa"/>
            <w:shd w:val="clear" w:color="auto" w:fill="auto"/>
          </w:tcPr>
          <w:p w:rsidR="00AC1BF3" w:rsidRPr="00AC1BF3" w:rsidRDefault="00AC1BF3" w:rsidP="00AC1BF3">
            <w:pPr>
              <w:rPr>
                <w:rFonts w:eastAsia="Times New Roman" w:cs="Times New Roman"/>
              </w:rPr>
            </w:pP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15%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Up to 1 year</w:t>
            </w:r>
          </w:p>
        </w:tc>
      </w:tr>
      <w:tr w:rsidR="00AC1BF3" w:rsidRPr="00AC1BF3" w:rsidTr="00F30835">
        <w:tc>
          <w:tcPr>
            <w:tcW w:w="3821"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Floating rate notes</w:t>
            </w:r>
          </w:p>
        </w:tc>
        <w:tc>
          <w:tcPr>
            <w:tcW w:w="2234" w:type="dxa"/>
            <w:shd w:val="clear" w:color="auto" w:fill="auto"/>
          </w:tcPr>
          <w:p w:rsidR="00AC1BF3" w:rsidRPr="00AC1BF3" w:rsidRDefault="00AC1BF3" w:rsidP="00AC1BF3">
            <w:pPr>
              <w:rPr>
                <w:rFonts w:eastAsia="Times New Roman" w:cs="Times New Roman"/>
              </w:rPr>
            </w:pPr>
          </w:p>
        </w:tc>
        <w:tc>
          <w:tcPr>
            <w:tcW w:w="1817"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15% of total investments</w:t>
            </w:r>
          </w:p>
        </w:tc>
        <w:tc>
          <w:tcPr>
            <w:tcW w:w="1956" w:type="dxa"/>
            <w:shd w:val="clear" w:color="auto" w:fill="auto"/>
          </w:tcPr>
          <w:p w:rsidR="00AC1BF3" w:rsidRPr="00AC1BF3" w:rsidRDefault="00AC1BF3" w:rsidP="00AC1BF3">
            <w:pPr>
              <w:rPr>
                <w:rFonts w:eastAsia="Times New Roman" w:cs="Times New Roman"/>
              </w:rPr>
            </w:pPr>
            <w:r w:rsidRPr="00AC1BF3">
              <w:rPr>
                <w:rFonts w:eastAsia="Times New Roman" w:cs="Times New Roman"/>
              </w:rPr>
              <w:t>Up to 1 year</w:t>
            </w:r>
          </w:p>
        </w:tc>
      </w:tr>
      <w:tr w:rsidR="00AC1BF3" w:rsidRPr="00AC1BF3" w:rsidTr="00F30835">
        <w:tc>
          <w:tcPr>
            <w:tcW w:w="3821" w:type="dxa"/>
            <w:tcBorders>
              <w:top w:val="single" w:sz="4" w:space="0" w:color="auto"/>
              <w:left w:val="single" w:sz="4" w:space="0" w:color="auto"/>
              <w:bottom w:val="single" w:sz="4" w:space="0" w:color="auto"/>
              <w:right w:val="single" w:sz="4" w:space="0" w:color="auto"/>
            </w:tcBorders>
            <w:shd w:val="clear" w:color="auto" w:fill="auto"/>
          </w:tcPr>
          <w:p w:rsidR="00AC1BF3" w:rsidRPr="00AC1BF3" w:rsidRDefault="00332A9C" w:rsidP="00AC1BF3">
            <w:pPr>
              <w:rPr>
                <w:rFonts w:eastAsia="Times New Roman" w:cs="Times New Roman"/>
              </w:rPr>
            </w:pPr>
            <w:r>
              <w:rPr>
                <w:rFonts w:eastAsia="Times New Roman" w:cs="Times New Roman"/>
              </w:rPr>
              <w:t>Pooled Investment</w:t>
            </w:r>
            <w:r w:rsidR="00AC1BF3" w:rsidRPr="00AC1BF3">
              <w:rPr>
                <w:rFonts w:eastAsia="Times New Roman" w:cs="Times New Roman"/>
              </w:rPr>
              <w:t xml:space="preserve"> funds</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AC1BF3" w:rsidRPr="00AC1BF3" w:rsidRDefault="00AC1BF3" w:rsidP="00AC1BF3">
            <w:pPr>
              <w:rPr>
                <w:rFonts w:eastAsia="Times New Roman" w:cs="Times New Roman"/>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rsidR="00AC1BF3" w:rsidRPr="00AC1BF3" w:rsidRDefault="00AC1BF3" w:rsidP="00332A9C">
            <w:pPr>
              <w:rPr>
                <w:rFonts w:eastAsia="Times New Roman" w:cs="Times New Roman"/>
              </w:rPr>
            </w:pPr>
            <w:r w:rsidRPr="00AC1BF3">
              <w:rPr>
                <w:rFonts w:eastAsia="Times New Roman" w:cs="Times New Roman"/>
              </w:rPr>
              <w:t>25% of total investments</w:t>
            </w:r>
            <w:r w:rsidR="0052565B">
              <w:rPr>
                <w:rFonts w:eastAsia="Times New Roman" w:cs="Times New Roman"/>
              </w:rPr>
              <w:t xml:space="preserve"> or £</w:t>
            </w:r>
            <w:r w:rsidR="00D565C7">
              <w:rPr>
                <w:rFonts w:eastAsia="Times New Roman" w:cs="Times New Roman"/>
              </w:rPr>
              <w:t>2</w:t>
            </w:r>
            <w:r w:rsidR="00332A9C">
              <w:rPr>
                <w:rFonts w:eastAsia="Times New Roman" w:cs="Times New Roman"/>
              </w:rPr>
              <w:t>5</w:t>
            </w:r>
            <w:r w:rsidR="0052565B">
              <w:rPr>
                <w:rFonts w:eastAsia="Times New Roman" w:cs="Times New Roman"/>
              </w:rPr>
              <w:t xml:space="preserve"> million, whichever is the greater</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AC1BF3" w:rsidRPr="00AC1BF3" w:rsidRDefault="00AC1BF3" w:rsidP="00AC1BF3">
            <w:pPr>
              <w:rPr>
                <w:rFonts w:eastAsia="Times New Roman" w:cs="Times New Roman"/>
              </w:rPr>
            </w:pPr>
            <w:r w:rsidRPr="00AC1BF3">
              <w:rPr>
                <w:rFonts w:eastAsia="Times New Roman" w:cs="Times New Roman"/>
              </w:rPr>
              <w:t>Medium to long term</w:t>
            </w:r>
          </w:p>
        </w:tc>
      </w:tr>
    </w:tbl>
    <w:p w:rsidR="00AC1BF3" w:rsidRPr="00AC1BF3" w:rsidRDefault="00AC1BF3" w:rsidP="00AC1BF3">
      <w:pPr>
        <w:rPr>
          <w:rFonts w:eastAsia="Times New Roman" w:cs="Times New Roman"/>
          <w:i/>
          <w:highlight w:val="yellow"/>
        </w:rPr>
      </w:pPr>
    </w:p>
    <w:p w:rsidR="00AC1BF3" w:rsidRDefault="00AC1BF3" w:rsidP="00AC1BF3">
      <w:pPr>
        <w:rPr>
          <w:rFonts w:eastAsia="Times New Roman"/>
          <w:noProof/>
        </w:rPr>
      </w:pPr>
      <w:r w:rsidRPr="00AC1BF3">
        <w:rPr>
          <w:rFonts w:eastAsia="Times New Roman" w:cs="Times New Roman"/>
        </w:rPr>
        <w:t xml:space="preserve">The colour ratings above for the </w:t>
      </w:r>
      <w:r w:rsidRPr="00AC1BF3">
        <w:rPr>
          <w:rFonts w:eastAsia="Times New Roman"/>
          <w:noProof/>
        </w:rPr>
        <w:t xml:space="preserve">Term </w:t>
      </w:r>
      <w:r w:rsidR="008F3166">
        <w:rPr>
          <w:rFonts w:eastAsia="Times New Roman"/>
          <w:noProof/>
        </w:rPr>
        <w:t>D</w:t>
      </w:r>
      <w:r w:rsidRPr="00AC1BF3">
        <w:rPr>
          <w:rFonts w:eastAsia="Times New Roman"/>
          <w:noProof/>
        </w:rPr>
        <w:t xml:space="preserve">eposits with banks and rated building societies and Certificates of Deposit or </w:t>
      </w:r>
      <w:r w:rsidR="008F3166">
        <w:rPr>
          <w:rFonts w:eastAsia="Times New Roman"/>
          <w:noProof/>
        </w:rPr>
        <w:t>C</w:t>
      </w:r>
      <w:r w:rsidRPr="00AC1BF3">
        <w:rPr>
          <w:rFonts w:eastAsia="Times New Roman"/>
          <w:noProof/>
        </w:rPr>
        <w:t xml:space="preserve">orporate </w:t>
      </w:r>
      <w:r w:rsidR="008F3166">
        <w:rPr>
          <w:rFonts w:eastAsia="Times New Roman"/>
          <w:noProof/>
        </w:rPr>
        <w:t>B</w:t>
      </w:r>
      <w:r w:rsidRPr="00AC1BF3">
        <w:rPr>
          <w:rFonts w:eastAsia="Times New Roman"/>
          <w:noProof/>
        </w:rPr>
        <w:t xml:space="preserve">onds  with banks and building societies link the durations in the right hand column to colour coding used in </w:t>
      </w:r>
      <w:r w:rsidR="00D565C7">
        <w:rPr>
          <w:rFonts w:eastAsia="Times New Roman"/>
          <w:noProof/>
        </w:rPr>
        <w:t>Link Asset Services</w:t>
      </w:r>
      <w:r w:rsidRPr="00AC1BF3">
        <w:rPr>
          <w:rFonts w:eastAsia="Times New Roman"/>
          <w:noProof/>
        </w:rPr>
        <w:t xml:space="preserve">’s Credit List i.e. </w:t>
      </w:r>
      <w:r w:rsidR="00ED3400">
        <w:rPr>
          <w:rFonts w:eastAsia="Times New Roman"/>
          <w:noProof/>
        </w:rPr>
        <w:t xml:space="preserve">investments with </w:t>
      </w:r>
      <w:r w:rsidR="000C19B6">
        <w:rPr>
          <w:rFonts w:eastAsia="Times New Roman"/>
          <w:noProof/>
        </w:rPr>
        <w:t>y</w:t>
      </w:r>
      <w:r w:rsidRPr="00AC1BF3">
        <w:rPr>
          <w:rFonts w:eastAsia="Times New Roman"/>
          <w:noProof/>
        </w:rPr>
        <w:t xml:space="preserve">ellow coloured institutions </w:t>
      </w:r>
      <w:r w:rsidR="00ED3400">
        <w:rPr>
          <w:rFonts w:eastAsia="Times New Roman"/>
          <w:noProof/>
        </w:rPr>
        <w:t xml:space="preserve">are recommended for </w:t>
      </w:r>
      <w:r w:rsidR="000C19B6">
        <w:rPr>
          <w:rFonts w:eastAsia="Times New Roman"/>
          <w:noProof/>
        </w:rPr>
        <w:t>u</w:t>
      </w:r>
      <w:r w:rsidRPr="00AC1BF3">
        <w:rPr>
          <w:rFonts w:eastAsia="Times New Roman"/>
          <w:noProof/>
        </w:rPr>
        <w:t xml:space="preserve">pto 60 months (5 years) according to the </w:t>
      </w:r>
      <w:r w:rsidR="00D565C7">
        <w:rPr>
          <w:rFonts w:eastAsia="Times New Roman"/>
          <w:noProof/>
        </w:rPr>
        <w:t>Link Asset Services</w:t>
      </w:r>
      <w:r w:rsidRPr="00AC1BF3">
        <w:rPr>
          <w:rFonts w:eastAsia="Times New Roman"/>
          <w:noProof/>
        </w:rPr>
        <w:t xml:space="preserve"> Credit List</w:t>
      </w:r>
      <w:r w:rsidR="00D565C7">
        <w:rPr>
          <w:rFonts w:eastAsia="Times New Roman"/>
          <w:noProof/>
        </w:rPr>
        <w:t>.</w:t>
      </w:r>
    </w:p>
    <w:p w:rsidR="00260068" w:rsidRDefault="00260068" w:rsidP="00AC1BF3">
      <w:pPr>
        <w:rPr>
          <w:rFonts w:eastAsia="Times New Roman"/>
          <w:noProof/>
        </w:rPr>
      </w:pPr>
    </w:p>
    <w:p w:rsidR="00260068" w:rsidRDefault="00260068" w:rsidP="00AC1BF3">
      <w:pPr>
        <w:rPr>
          <w:rFonts w:eastAsia="Times New Roman"/>
          <w:noProof/>
        </w:rPr>
      </w:pPr>
      <w:r>
        <w:rPr>
          <w:rFonts w:eastAsia="Times New Roman"/>
          <w:noProof/>
        </w:rPr>
        <w:t>The durational bands adopted in detail are:</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Yellow</w:t>
      </w:r>
      <w:r w:rsidRPr="00260068">
        <w:rPr>
          <w:rFonts w:eastAsia="Times New Roman"/>
          <w:spacing w:val="-5"/>
          <w:szCs w:val="22"/>
        </w:rPr>
        <w:tab/>
        <w:t>5 years *</w:t>
      </w:r>
    </w:p>
    <w:p w:rsidR="00260068" w:rsidRPr="00260068" w:rsidRDefault="00260068" w:rsidP="00260068">
      <w:pPr>
        <w:numPr>
          <w:ilvl w:val="0"/>
          <w:numId w:val="4"/>
        </w:numPr>
        <w:tabs>
          <w:tab w:val="num" w:pos="1985"/>
        </w:tabs>
        <w:ind w:left="709" w:hanging="349"/>
        <w:rPr>
          <w:rFonts w:eastAsia="Times New Roman"/>
          <w:spacing w:val="-5"/>
          <w:szCs w:val="22"/>
        </w:rPr>
      </w:pPr>
      <w:r w:rsidRPr="00260068">
        <w:rPr>
          <w:rFonts w:eastAsia="Times New Roman"/>
          <w:spacing w:val="-5"/>
          <w:szCs w:val="22"/>
        </w:rPr>
        <w:t>Dark pink</w:t>
      </w:r>
      <w:r w:rsidRPr="00260068">
        <w:rPr>
          <w:rFonts w:eastAsia="Times New Roman"/>
          <w:spacing w:val="-5"/>
          <w:szCs w:val="22"/>
        </w:rPr>
        <w:tab/>
        <w:t>5 years for Ultra-Short Dated Bond Funds with a credit score of 1.25</w:t>
      </w:r>
    </w:p>
    <w:p w:rsidR="00260068" w:rsidRPr="00260068" w:rsidRDefault="00260068" w:rsidP="00260068">
      <w:pPr>
        <w:numPr>
          <w:ilvl w:val="0"/>
          <w:numId w:val="4"/>
        </w:numPr>
        <w:tabs>
          <w:tab w:val="num" w:pos="1985"/>
        </w:tabs>
        <w:ind w:left="709" w:hanging="349"/>
        <w:rPr>
          <w:rFonts w:eastAsia="Times New Roman"/>
          <w:spacing w:val="-5"/>
          <w:szCs w:val="22"/>
        </w:rPr>
      </w:pPr>
      <w:r w:rsidRPr="00260068">
        <w:rPr>
          <w:rFonts w:eastAsia="Times New Roman"/>
          <w:spacing w:val="-5"/>
          <w:szCs w:val="22"/>
        </w:rPr>
        <w:t>Light pink</w:t>
      </w:r>
      <w:r w:rsidRPr="00260068">
        <w:rPr>
          <w:rFonts w:eastAsia="Times New Roman"/>
          <w:spacing w:val="-5"/>
          <w:szCs w:val="22"/>
        </w:rPr>
        <w:tab/>
        <w:t>5 years for Ultra-Short Dated Bond Funds with a credit score of 1.5</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 xml:space="preserve">Purple </w:t>
      </w:r>
      <w:r w:rsidRPr="00260068">
        <w:rPr>
          <w:rFonts w:eastAsia="Times New Roman"/>
          <w:spacing w:val="-5"/>
          <w:szCs w:val="22"/>
        </w:rPr>
        <w:tab/>
        <w:t>2 years</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 xml:space="preserve">Blue </w:t>
      </w:r>
      <w:r w:rsidRPr="00260068">
        <w:rPr>
          <w:rFonts w:eastAsia="Times New Roman"/>
          <w:spacing w:val="-5"/>
          <w:szCs w:val="22"/>
        </w:rPr>
        <w:tab/>
        <w:t>1 year (only applies to nationalised or semi nationalised UK Banks)</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Orange</w:t>
      </w:r>
      <w:r w:rsidRPr="00260068">
        <w:rPr>
          <w:rFonts w:eastAsia="Times New Roman"/>
          <w:spacing w:val="-5"/>
          <w:szCs w:val="22"/>
        </w:rPr>
        <w:tab/>
        <w:t>1 year</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 xml:space="preserve">Red </w:t>
      </w:r>
      <w:r w:rsidRPr="00260068">
        <w:rPr>
          <w:rFonts w:eastAsia="Times New Roman"/>
          <w:spacing w:val="-5"/>
          <w:szCs w:val="22"/>
        </w:rPr>
        <w:tab/>
        <w:t>6 months</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 xml:space="preserve">Green </w:t>
      </w:r>
      <w:r w:rsidRPr="00260068">
        <w:rPr>
          <w:rFonts w:eastAsia="Times New Roman"/>
          <w:spacing w:val="-5"/>
          <w:szCs w:val="22"/>
        </w:rPr>
        <w:tab/>
        <w:t xml:space="preserve">100 days  </w:t>
      </w:r>
    </w:p>
    <w:p w:rsidR="00260068" w:rsidRPr="00260068" w:rsidRDefault="00260068" w:rsidP="00260068">
      <w:pPr>
        <w:numPr>
          <w:ilvl w:val="0"/>
          <w:numId w:val="4"/>
        </w:numPr>
        <w:tabs>
          <w:tab w:val="left" w:pos="1985"/>
        </w:tabs>
        <w:rPr>
          <w:rFonts w:eastAsia="Times New Roman"/>
          <w:spacing w:val="-5"/>
          <w:szCs w:val="22"/>
        </w:rPr>
      </w:pPr>
      <w:r w:rsidRPr="00260068">
        <w:rPr>
          <w:rFonts w:eastAsia="Times New Roman"/>
          <w:spacing w:val="-5"/>
          <w:szCs w:val="22"/>
        </w:rPr>
        <w:t xml:space="preserve">No colour </w:t>
      </w:r>
      <w:r w:rsidRPr="00260068">
        <w:rPr>
          <w:rFonts w:eastAsia="Times New Roman"/>
          <w:spacing w:val="-5"/>
          <w:szCs w:val="22"/>
        </w:rPr>
        <w:tab/>
        <w:t xml:space="preserve">not to be used </w:t>
      </w:r>
    </w:p>
    <w:p w:rsidR="0031383B" w:rsidRDefault="0031383B" w:rsidP="00260068">
      <w:pPr>
        <w:numPr>
          <w:ilvl w:val="12"/>
          <w:numId w:val="0"/>
        </w:numPr>
        <w:tabs>
          <w:tab w:val="left" w:pos="0"/>
        </w:tabs>
        <w:jc w:val="both"/>
      </w:pPr>
    </w:p>
    <w:p w:rsidR="00260068" w:rsidRPr="0031383B" w:rsidRDefault="00260068" w:rsidP="00260068">
      <w:pPr>
        <w:numPr>
          <w:ilvl w:val="12"/>
          <w:numId w:val="0"/>
        </w:numPr>
        <w:tabs>
          <w:tab w:val="left" w:pos="0"/>
        </w:tabs>
        <w:jc w:val="both"/>
      </w:pPr>
      <w:r w:rsidRPr="0031383B">
        <w:t>The Link Asset Services’ creditworthiness service uses a wider array of information other than just primary ratings. Furthermore, by using a risk weighted scoring system, it does not give undue preponderance to just one agency’s ratings.</w:t>
      </w:r>
    </w:p>
    <w:p w:rsidR="00260068" w:rsidRPr="0031383B" w:rsidRDefault="00260068" w:rsidP="00260068">
      <w:pPr>
        <w:numPr>
          <w:ilvl w:val="12"/>
          <w:numId w:val="0"/>
        </w:numPr>
        <w:tabs>
          <w:tab w:val="left" w:pos="0"/>
        </w:tabs>
        <w:jc w:val="both"/>
      </w:pPr>
    </w:p>
    <w:p w:rsidR="00260068" w:rsidRPr="0031383B" w:rsidRDefault="00260068" w:rsidP="00260068">
      <w:pPr>
        <w:jc w:val="both"/>
      </w:pPr>
      <w:r w:rsidRPr="0031383B">
        <w:t>Typically the minimum credit ratings criteria the Council use will be a Short Term rating (Fitch or equivalents) of   F1 and a Long Term rating of A-. There may be occasions when the counterparty ratings from one rating agency are marginally lower than these ratings but may still be used.  In these instances, consideration will be given to the whole range of ratings available, or other topical market information, to support their use.</w:t>
      </w:r>
    </w:p>
    <w:p w:rsidR="00AC1BF3" w:rsidRPr="0031383B" w:rsidRDefault="00AC1BF3" w:rsidP="00AC1BF3">
      <w:pPr>
        <w:rPr>
          <w:rFonts w:eastAsia="Times New Roman" w:cs="Times New Roman"/>
          <w:highlight w:val="yellow"/>
        </w:rPr>
      </w:pPr>
    </w:p>
    <w:p w:rsidR="00260068" w:rsidRPr="0031383B" w:rsidRDefault="00260068" w:rsidP="00260068">
      <w:pPr>
        <w:rPr>
          <w:rFonts w:eastAsia="Times New Roman" w:cs="Times New Roman"/>
          <w:b/>
          <w:lang w:val="en-AU"/>
        </w:rPr>
      </w:pPr>
      <w:r w:rsidRPr="0031383B">
        <w:rPr>
          <w:rFonts w:eastAsia="Times New Roman" w:cs="Times New Roman"/>
          <w:b/>
          <w:lang w:val="en-AU"/>
        </w:rPr>
        <w:t>UK banks – ring fencing</w:t>
      </w:r>
    </w:p>
    <w:p w:rsidR="00260068" w:rsidRPr="0031383B" w:rsidRDefault="00260068" w:rsidP="00260068">
      <w:pPr>
        <w:rPr>
          <w:rFonts w:eastAsia="Times New Roman" w:cs="Times New Roman"/>
          <w:iCs/>
        </w:rPr>
      </w:pPr>
      <w:r w:rsidRPr="0031383B">
        <w:rPr>
          <w:rFonts w:eastAsia="Times New Roman" w:cs="Times New Roman"/>
          <w:iCs/>
        </w:rPr>
        <w:t>The largest UK banks, (those with more than £25bn of retail / Small and Medium-sized Enterprise (SME) deposits), are required, by UK law, to separate core retail banking services from their investment and international banking activities by 1st January 2019. This is known as “ring-fencing”. Whilst smaller banks with less than £25bn in deposits are exempt, they can choose to opt up. Several banks are very close to the threshold already and so may come into scope in the future regardless.</w:t>
      </w:r>
    </w:p>
    <w:p w:rsidR="00260068" w:rsidRPr="0031383B" w:rsidRDefault="00260068" w:rsidP="00260068">
      <w:pPr>
        <w:rPr>
          <w:rFonts w:eastAsia="Times New Roman" w:cs="Times New Roman"/>
          <w:iCs/>
        </w:rPr>
      </w:pPr>
    </w:p>
    <w:p w:rsidR="00260068" w:rsidRPr="0031383B" w:rsidRDefault="00260068" w:rsidP="00260068">
      <w:pPr>
        <w:rPr>
          <w:rFonts w:eastAsia="Times New Roman" w:cs="Times New Roman"/>
          <w:iCs/>
        </w:rPr>
      </w:pPr>
      <w:r w:rsidRPr="0031383B">
        <w:rPr>
          <w:rFonts w:eastAsia="Times New Roman" w:cs="Times New Roman"/>
          <w:iCs/>
        </w:rPr>
        <w:t>Ring-fencing is a regulatory initiative created in response to the global financial crisis. It mandates the separation of retail and SME deposits from investment banking, in order to improve the resilience and resolvability of banks by changing their structure. In general, simpler, activities offered from within a ring-fenced bank, (RFB), will be focused on lower risk, day-to-day core transactions, whilst more complex and “riskier” activities are required to be housed in a separate entity, a non-ring-fenced bank, (NRFB). This is intended to ensure that an entity’s core activities are not adversely affected by the acts or omissions of other members of its group.</w:t>
      </w:r>
    </w:p>
    <w:p w:rsidR="00260068" w:rsidRPr="0031383B" w:rsidRDefault="00260068" w:rsidP="00260068">
      <w:pPr>
        <w:rPr>
          <w:rFonts w:eastAsia="Times New Roman" w:cs="Times New Roman"/>
          <w:lang w:val="en-AU"/>
        </w:rPr>
      </w:pPr>
    </w:p>
    <w:p w:rsidR="00260068" w:rsidRPr="0031383B" w:rsidRDefault="00260068" w:rsidP="00260068">
      <w:pPr>
        <w:rPr>
          <w:rFonts w:eastAsia="Times New Roman" w:cs="Times New Roman"/>
        </w:rPr>
      </w:pPr>
      <w:r w:rsidRPr="0031383B">
        <w:rPr>
          <w:rFonts w:eastAsia="Times New Roman" w:cs="Times New Roman"/>
        </w:rPr>
        <w:t>While the structure of the banks included within this process may have changed, the fundamentals of credit assessment have not. The Council will continue to assess the new-formed entities in the same way that it does others and those with sufficiently high ratings, (and any other metrics considered), will be considered for investment purposes.</w:t>
      </w:r>
    </w:p>
    <w:p w:rsidR="00260068" w:rsidRPr="0031383B" w:rsidRDefault="00260068" w:rsidP="00AC1BF3">
      <w:pPr>
        <w:rPr>
          <w:rFonts w:eastAsia="Times New Roman" w:cs="Times New Roman"/>
          <w:highlight w:val="yellow"/>
        </w:rPr>
      </w:pPr>
    </w:p>
    <w:p w:rsidR="00260068" w:rsidRPr="00AC1BF3" w:rsidRDefault="00260068" w:rsidP="00AC1BF3">
      <w:pPr>
        <w:rPr>
          <w:rFonts w:eastAsia="Times New Roman" w:cs="Times New Roman"/>
          <w:i/>
          <w:highlight w:val="yellow"/>
        </w:rPr>
      </w:pPr>
    </w:p>
    <w:p w:rsidR="00AC1BF3" w:rsidRPr="00AC1BF3" w:rsidRDefault="00AC1BF3" w:rsidP="00AC1BF3">
      <w:pPr>
        <w:rPr>
          <w:rFonts w:eastAsia="Times New Roman" w:cs="Times New Roman"/>
          <w:szCs w:val="20"/>
        </w:rPr>
      </w:pPr>
      <w:r w:rsidRPr="00AC1BF3">
        <w:rPr>
          <w:rFonts w:eastAsia="Times New Roman" w:cs="Times New Roman"/>
          <w:b/>
          <w:szCs w:val="20"/>
        </w:rPr>
        <w:t>The Monitoring of Investment Counterparties</w:t>
      </w:r>
      <w:r w:rsidRPr="00AC1BF3">
        <w:rPr>
          <w:rFonts w:eastAsia="Times New Roman" w:cs="Times New Roman"/>
          <w:szCs w:val="20"/>
        </w:rPr>
        <w:t xml:space="preserve"> - The Council receives credit rating information (changes, rating watches and rating outlooks) from </w:t>
      </w:r>
      <w:r w:rsidR="00D565C7">
        <w:rPr>
          <w:rFonts w:eastAsia="Times New Roman" w:cs="Times New Roman"/>
          <w:szCs w:val="20"/>
        </w:rPr>
        <w:t>Link</w:t>
      </w:r>
      <w:r w:rsidRPr="00AC1BF3">
        <w:rPr>
          <w:rFonts w:eastAsia="Times New Roman" w:cs="Times New Roman"/>
          <w:szCs w:val="20"/>
        </w:rPr>
        <w:t xml:space="preserve"> </w:t>
      </w:r>
      <w:r w:rsidR="00D565C7">
        <w:rPr>
          <w:rFonts w:eastAsia="Times New Roman" w:cs="Times New Roman"/>
          <w:szCs w:val="20"/>
        </w:rPr>
        <w:t xml:space="preserve">Asset Services </w:t>
      </w:r>
      <w:r w:rsidRPr="00AC1BF3">
        <w:rPr>
          <w:rFonts w:eastAsia="Times New Roman" w:cs="Times New Roman"/>
          <w:szCs w:val="20"/>
        </w:rPr>
        <w:t xml:space="preserve">on a weekly basis, and counterparties are checked promptly.  On occasion ratings </w:t>
      </w:r>
      <w:r w:rsidRPr="00AC1BF3">
        <w:rPr>
          <w:rFonts w:eastAsia="Times New Roman" w:cs="Times New Roman"/>
          <w:szCs w:val="20"/>
        </w:rPr>
        <w:lastRenderedPageBreak/>
        <w:t>may be downgraded when an investment has already been made.  The criteria used are such that a minor downgrading should not affect the full receipt of the principal and interest.  An</w:t>
      </w:r>
      <w:r w:rsidR="00D565C7">
        <w:rPr>
          <w:rFonts w:eastAsia="Times New Roman" w:cs="Times New Roman"/>
          <w:szCs w:val="20"/>
        </w:rPr>
        <w:t xml:space="preserve">y counterparty failing to meet </w:t>
      </w:r>
      <w:r w:rsidRPr="00AC1BF3">
        <w:rPr>
          <w:rFonts w:eastAsia="Times New Roman" w:cs="Times New Roman"/>
          <w:szCs w:val="20"/>
        </w:rPr>
        <w:t>the criteria will be removed from the list immediately by the Section 151 Officer, and if required new counterparties which meet the criteria will be added to the list.  The Council also monitors counterparties against the limits specified below:</w:t>
      </w:r>
    </w:p>
    <w:p w:rsidR="00AC1BF3" w:rsidRPr="00AC1BF3" w:rsidRDefault="00AC1BF3" w:rsidP="00AC1BF3">
      <w:pPr>
        <w:rPr>
          <w:rFonts w:eastAsia="Times New Roman" w:cs="Times New Roman"/>
          <w:szCs w:val="20"/>
        </w:rPr>
      </w:pPr>
    </w:p>
    <w:tbl>
      <w:tblPr>
        <w:tblW w:w="4140" w:type="dxa"/>
        <w:jc w:val="center"/>
        <w:tblLook w:val="04A0" w:firstRow="1" w:lastRow="0" w:firstColumn="1" w:lastColumn="0" w:noHBand="0" w:noVBand="1"/>
      </w:tblPr>
      <w:tblGrid>
        <w:gridCol w:w="1590"/>
        <w:gridCol w:w="1275"/>
        <w:gridCol w:w="1275"/>
      </w:tblGrid>
      <w:tr w:rsidR="00AC1BF3" w:rsidRPr="00AC1BF3" w:rsidTr="00F30835">
        <w:trPr>
          <w:trHeight w:val="315"/>
          <w:jc w:val="center"/>
        </w:trPr>
        <w:tc>
          <w:tcPr>
            <w:tcW w:w="41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C1BF3" w:rsidRPr="00AC1BF3" w:rsidRDefault="00AC1BF3" w:rsidP="00AC1BF3">
            <w:pPr>
              <w:rPr>
                <w:rFonts w:eastAsia="Times New Roman"/>
                <w:color w:val="000000"/>
                <w:u w:val="single"/>
                <w:lang w:eastAsia="en-GB"/>
              </w:rPr>
            </w:pPr>
            <w:r w:rsidRPr="00AC1BF3">
              <w:rPr>
                <w:rFonts w:eastAsia="Times New Roman"/>
                <w:color w:val="000000"/>
                <w:u w:val="single"/>
                <w:lang w:eastAsia="en-GB"/>
              </w:rPr>
              <w:t>Duration Limits (based on Fitch ratings)</w:t>
            </w:r>
          </w:p>
        </w:tc>
      </w:tr>
      <w:tr w:rsidR="00AC1BF3" w:rsidRPr="00AC1BF3" w:rsidTr="00F30835">
        <w:trPr>
          <w:trHeight w:val="315"/>
          <w:jc w:val="center"/>
        </w:trPr>
        <w:tc>
          <w:tcPr>
            <w:tcW w:w="1590" w:type="dxa"/>
            <w:tcBorders>
              <w:top w:val="single" w:sz="4" w:space="0" w:color="auto"/>
              <w:left w:val="single" w:sz="8" w:space="0" w:color="auto"/>
              <w:bottom w:val="nil"/>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 xml:space="preserve">Long Term </w:t>
            </w:r>
          </w:p>
        </w:tc>
        <w:tc>
          <w:tcPr>
            <w:tcW w:w="255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C1BF3" w:rsidRPr="00AC1BF3" w:rsidRDefault="00AC1BF3" w:rsidP="00AC1BF3">
            <w:pPr>
              <w:jc w:val="center"/>
              <w:rPr>
                <w:rFonts w:eastAsia="Times New Roman"/>
                <w:b/>
                <w:bCs/>
                <w:color w:val="000000"/>
                <w:lang w:eastAsia="en-GB"/>
              </w:rPr>
            </w:pPr>
            <w:r w:rsidRPr="00AC1BF3">
              <w:rPr>
                <w:rFonts w:eastAsia="Times New Roman"/>
                <w:b/>
                <w:bCs/>
                <w:color w:val="000000"/>
                <w:lang w:eastAsia="en-GB"/>
              </w:rPr>
              <w:t xml:space="preserve">Short Term Rating </w:t>
            </w:r>
          </w:p>
        </w:tc>
      </w:tr>
      <w:tr w:rsidR="00AC1BF3" w:rsidRPr="00AC1BF3" w:rsidTr="00F30835">
        <w:trPr>
          <w:trHeight w:val="315"/>
          <w:jc w:val="center"/>
        </w:trPr>
        <w:tc>
          <w:tcPr>
            <w:tcW w:w="1590" w:type="dxa"/>
            <w:tcBorders>
              <w:top w:val="nil"/>
              <w:left w:val="single" w:sz="8" w:space="0" w:color="auto"/>
              <w:bottom w:val="nil"/>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 xml:space="preserve">Rating </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F1+</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F1</w:t>
            </w:r>
          </w:p>
        </w:tc>
      </w:tr>
      <w:tr w:rsidR="00AC1BF3" w:rsidRPr="00AC1BF3" w:rsidTr="00F30835">
        <w:trPr>
          <w:trHeight w:val="315"/>
          <w:jc w:val="center"/>
        </w:trPr>
        <w:tc>
          <w:tcPr>
            <w:tcW w:w="15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AAA</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2 years</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AC1BF3" w:rsidP="009775CE">
            <w:pPr>
              <w:rPr>
                <w:rFonts w:eastAsia="Times New Roman"/>
                <w:color w:val="000000"/>
                <w:lang w:eastAsia="en-GB"/>
              </w:rPr>
            </w:pPr>
            <w:r w:rsidRPr="00AC1BF3">
              <w:rPr>
                <w:rFonts w:eastAsia="Times New Roman"/>
                <w:color w:val="000000"/>
                <w:lang w:eastAsia="en-GB"/>
              </w:rPr>
              <w:t>36</w:t>
            </w:r>
            <w:r w:rsidR="009775CE">
              <w:rPr>
                <w:rFonts w:eastAsia="Times New Roman"/>
                <w:color w:val="000000"/>
                <w:lang w:eastAsia="en-GB"/>
              </w:rPr>
              <w:t>5</w:t>
            </w:r>
            <w:r w:rsidRPr="00AC1BF3">
              <w:rPr>
                <w:rFonts w:eastAsia="Times New Roman"/>
                <w:color w:val="000000"/>
                <w:lang w:eastAsia="en-GB"/>
              </w:rPr>
              <w:t xml:space="preserve"> days</w:t>
            </w:r>
          </w:p>
        </w:tc>
      </w:tr>
      <w:tr w:rsidR="00AC1BF3" w:rsidRPr="00AC1BF3" w:rsidTr="00F30835">
        <w:trPr>
          <w:trHeight w:val="315"/>
          <w:jc w:val="center"/>
        </w:trPr>
        <w:tc>
          <w:tcPr>
            <w:tcW w:w="1590" w:type="dxa"/>
            <w:tcBorders>
              <w:top w:val="nil"/>
              <w:left w:val="single" w:sz="8" w:space="0" w:color="auto"/>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AA+</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2 years</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9775CE" w:rsidP="00AC1BF3">
            <w:pPr>
              <w:rPr>
                <w:rFonts w:eastAsia="Times New Roman"/>
                <w:color w:val="000000"/>
                <w:lang w:eastAsia="en-GB"/>
              </w:rPr>
            </w:pPr>
            <w:r>
              <w:rPr>
                <w:rFonts w:eastAsia="Times New Roman"/>
                <w:color w:val="000000"/>
                <w:lang w:eastAsia="en-GB"/>
              </w:rPr>
              <w:t>365</w:t>
            </w:r>
            <w:r w:rsidR="00AC1BF3" w:rsidRPr="00AC1BF3">
              <w:rPr>
                <w:rFonts w:eastAsia="Times New Roman"/>
                <w:color w:val="000000"/>
                <w:lang w:eastAsia="en-GB"/>
              </w:rPr>
              <w:t xml:space="preserve"> days</w:t>
            </w:r>
          </w:p>
        </w:tc>
      </w:tr>
      <w:tr w:rsidR="00AC1BF3" w:rsidRPr="00AC1BF3" w:rsidTr="00F30835">
        <w:trPr>
          <w:trHeight w:val="315"/>
          <w:jc w:val="center"/>
        </w:trPr>
        <w:tc>
          <w:tcPr>
            <w:tcW w:w="1590" w:type="dxa"/>
            <w:tcBorders>
              <w:top w:val="nil"/>
              <w:left w:val="single" w:sz="8" w:space="0" w:color="auto"/>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AA</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2 years</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9 months</w:t>
            </w:r>
          </w:p>
        </w:tc>
      </w:tr>
      <w:tr w:rsidR="00AC1BF3" w:rsidRPr="00AC1BF3" w:rsidTr="00F30835">
        <w:trPr>
          <w:trHeight w:val="315"/>
          <w:jc w:val="center"/>
        </w:trPr>
        <w:tc>
          <w:tcPr>
            <w:tcW w:w="1590" w:type="dxa"/>
            <w:tcBorders>
              <w:top w:val="nil"/>
              <w:left w:val="single" w:sz="8" w:space="0" w:color="auto"/>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AA-</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2 years</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9 months</w:t>
            </w:r>
          </w:p>
        </w:tc>
      </w:tr>
      <w:tr w:rsidR="00AC1BF3" w:rsidRPr="00AC1BF3" w:rsidTr="00F30835">
        <w:trPr>
          <w:trHeight w:val="315"/>
          <w:jc w:val="center"/>
        </w:trPr>
        <w:tc>
          <w:tcPr>
            <w:tcW w:w="1590" w:type="dxa"/>
            <w:tcBorders>
              <w:top w:val="nil"/>
              <w:left w:val="single" w:sz="8" w:space="0" w:color="auto"/>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33114D">
            <w:pPr>
              <w:rPr>
                <w:rFonts w:eastAsia="Times New Roman"/>
                <w:color w:val="000000"/>
                <w:lang w:eastAsia="en-GB"/>
              </w:rPr>
            </w:pPr>
            <w:r w:rsidRPr="00AC1BF3">
              <w:rPr>
                <w:rFonts w:eastAsia="Times New Roman"/>
                <w:color w:val="000000"/>
                <w:lang w:eastAsia="en-GB"/>
              </w:rPr>
              <w:t>36</w:t>
            </w:r>
            <w:r w:rsidR="0033114D">
              <w:rPr>
                <w:rFonts w:eastAsia="Times New Roman"/>
                <w:color w:val="000000"/>
                <w:lang w:eastAsia="en-GB"/>
              </w:rPr>
              <w:t>5</w:t>
            </w:r>
            <w:r w:rsidRPr="00AC1BF3">
              <w:rPr>
                <w:rFonts w:eastAsia="Times New Roman"/>
                <w:color w:val="000000"/>
                <w:lang w:eastAsia="en-GB"/>
              </w:rPr>
              <w:t xml:space="preserve"> days</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9 months</w:t>
            </w:r>
          </w:p>
        </w:tc>
      </w:tr>
      <w:tr w:rsidR="00AC1BF3" w:rsidRPr="00AC1BF3" w:rsidTr="00F30835">
        <w:trPr>
          <w:trHeight w:val="315"/>
          <w:jc w:val="center"/>
        </w:trPr>
        <w:tc>
          <w:tcPr>
            <w:tcW w:w="1590" w:type="dxa"/>
            <w:tcBorders>
              <w:top w:val="nil"/>
              <w:left w:val="single" w:sz="8" w:space="0" w:color="auto"/>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w:t>
            </w:r>
          </w:p>
        </w:tc>
        <w:tc>
          <w:tcPr>
            <w:tcW w:w="1275" w:type="dxa"/>
            <w:tcBorders>
              <w:top w:val="nil"/>
              <w:left w:val="nil"/>
              <w:bottom w:val="single" w:sz="4" w:space="0" w:color="auto"/>
              <w:right w:val="single" w:sz="4"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9 months</w:t>
            </w:r>
          </w:p>
        </w:tc>
        <w:tc>
          <w:tcPr>
            <w:tcW w:w="1275" w:type="dxa"/>
            <w:tcBorders>
              <w:top w:val="nil"/>
              <w:left w:val="nil"/>
              <w:bottom w:val="single" w:sz="4" w:space="0" w:color="auto"/>
              <w:right w:val="single" w:sz="8"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6 months</w:t>
            </w:r>
          </w:p>
        </w:tc>
      </w:tr>
      <w:tr w:rsidR="00AC1BF3" w:rsidRPr="00AC1BF3" w:rsidTr="00F30835">
        <w:trPr>
          <w:trHeight w:val="330"/>
          <w:jc w:val="center"/>
        </w:trPr>
        <w:tc>
          <w:tcPr>
            <w:tcW w:w="1590" w:type="dxa"/>
            <w:tcBorders>
              <w:top w:val="nil"/>
              <w:left w:val="single" w:sz="8" w:space="0" w:color="auto"/>
              <w:bottom w:val="single" w:sz="8" w:space="0" w:color="auto"/>
              <w:right w:val="single" w:sz="4" w:space="0" w:color="auto"/>
            </w:tcBorders>
            <w:shd w:val="clear" w:color="auto" w:fill="auto"/>
            <w:noWrap/>
            <w:vAlign w:val="bottom"/>
            <w:hideMark/>
          </w:tcPr>
          <w:p w:rsidR="00AC1BF3" w:rsidRPr="00AC1BF3" w:rsidRDefault="00AC1BF3" w:rsidP="00AC1BF3">
            <w:pPr>
              <w:rPr>
                <w:rFonts w:eastAsia="Times New Roman"/>
                <w:b/>
                <w:bCs/>
                <w:color w:val="000000"/>
                <w:lang w:eastAsia="en-GB"/>
              </w:rPr>
            </w:pPr>
            <w:r w:rsidRPr="00AC1BF3">
              <w:rPr>
                <w:rFonts w:eastAsia="Times New Roman"/>
                <w:b/>
                <w:bCs/>
                <w:color w:val="000000"/>
                <w:lang w:eastAsia="en-GB"/>
              </w:rPr>
              <w:t>A-</w:t>
            </w:r>
          </w:p>
        </w:tc>
        <w:tc>
          <w:tcPr>
            <w:tcW w:w="1275" w:type="dxa"/>
            <w:tcBorders>
              <w:top w:val="nil"/>
              <w:left w:val="nil"/>
              <w:bottom w:val="single" w:sz="8" w:space="0" w:color="auto"/>
              <w:right w:val="single" w:sz="4"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6 months</w:t>
            </w:r>
          </w:p>
        </w:tc>
        <w:tc>
          <w:tcPr>
            <w:tcW w:w="1275" w:type="dxa"/>
            <w:tcBorders>
              <w:top w:val="nil"/>
              <w:left w:val="nil"/>
              <w:bottom w:val="single" w:sz="8" w:space="0" w:color="auto"/>
              <w:right w:val="single" w:sz="8" w:space="0" w:color="auto"/>
            </w:tcBorders>
            <w:shd w:val="clear" w:color="auto" w:fill="auto"/>
            <w:noWrap/>
            <w:vAlign w:val="bottom"/>
            <w:hideMark/>
          </w:tcPr>
          <w:p w:rsidR="00AC1BF3" w:rsidRPr="00AC1BF3" w:rsidRDefault="00AC1BF3" w:rsidP="00AC1BF3">
            <w:pPr>
              <w:rPr>
                <w:rFonts w:eastAsia="Times New Roman"/>
                <w:color w:val="000000"/>
                <w:lang w:eastAsia="en-GB"/>
              </w:rPr>
            </w:pPr>
            <w:r w:rsidRPr="00AC1BF3">
              <w:rPr>
                <w:rFonts w:eastAsia="Times New Roman"/>
                <w:color w:val="000000"/>
                <w:lang w:eastAsia="en-GB"/>
              </w:rPr>
              <w:t>3 months</w:t>
            </w:r>
          </w:p>
        </w:tc>
      </w:tr>
    </w:tbl>
    <w:p w:rsidR="00AC1BF3" w:rsidRPr="00AC1BF3" w:rsidRDefault="00AC1BF3" w:rsidP="00AC1BF3">
      <w:pPr>
        <w:rPr>
          <w:rFonts w:eastAsia="Times New Roman" w:cs="Times New Roman"/>
          <w:szCs w:val="20"/>
        </w:rPr>
      </w:pPr>
    </w:p>
    <w:p w:rsidR="008A22C6" w:rsidRPr="008A22C6" w:rsidRDefault="008A22C6" w:rsidP="008A22C6"/>
    <w:sectPr w:rsidR="008A22C6" w:rsidRPr="008A2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76D"/>
    <w:multiLevelType w:val="hybridMultilevel"/>
    <w:tmpl w:val="FEB61F4A"/>
    <w:lvl w:ilvl="0" w:tplc="2208DC04">
      <w:start w:val="1"/>
      <w:numFmt w:val="bullet"/>
      <w:lvlText w:val=""/>
      <w:lvlJc w:val="left"/>
      <w:pPr>
        <w:tabs>
          <w:tab w:val="num" w:pos="720"/>
        </w:tabs>
        <w:ind w:left="720" w:hanging="360"/>
      </w:pPr>
      <w:rPr>
        <w:rFonts w:ascii="Symbol" w:hAnsi="Symbol" w:hint="default"/>
        <w:sz w:val="16"/>
      </w:rPr>
    </w:lvl>
    <w:lvl w:ilvl="1" w:tplc="08389D76">
      <w:start w:val="1"/>
      <w:numFmt w:val="bullet"/>
      <w:lvlText w:val="o"/>
      <w:lvlJc w:val="left"/>
      <w:pPr>
        <w:tabs>
          <w:tab w:val="num" w:pos="1440"/>
        </w:tabs>
        <w:ind w:left="1440" w:hanging="360"/>
      </w:pPr>
      <w:rPr>
        <w:rFonts w:ascii="Courier New" w:hAnsi="Courier New" w:hint="default"/>
      </w:rPr>
    </w:lvl>
    <w:lvl w:ilvl="2" w:tplc="52B8D480">
      <w:start w:val="1"/>
      <w:numFmt w:val="bullet"/>
      <w:lvlText w:val=""/>
      <w:lvlJc w:val="left"/>
      <w:pPr>
        <w:tabs>
          <w:tab w:val="num" w:pos="2160"/>
        </w:tabs>
        <w:ind w:left="2160" w:hanging="360"/>
      </w:pPr>
      <w:rPr>
        <w:rFonts w:ascii="Wingdings" w:hAnsi="Wingdings" w:hint="default"/>
      </w:rPr>
    </w:lvl>
    <w:lvl w:ilvl="3" w:tplc="CE703452" w:tentative="1">
      <w:start w:val="1"/>
      <w:numFmt w:val="bullet"/>
      <w:lvlText w:val=""/>
      <w:lvlJc w:val="left"/>
      <w:pPr>
        <w:tabs>
          <w:tab w:val="num" w:pos="2880"/>
        </w:tabs>
        <w:ind w:left="2880" w:hanging="360"/>
      </w:pPr>
      <w:rPr>
        <w:rFonts w:ascii="Symbol" w:hAnsi="Symbol" w:hint="default"/>
      </w:rPr>
    </w:lvl>
    <w:lvl w:ilvl="4" w:tplc="897833D2" w:tentative="1">
      <w:start w:val="1"/>
      <w:numFmt w:val="bullet"/>
      <w:lvlText w:val="o"/>
      <w:lvlJc w:val="left"/>
      <w:pPr>
        <w:tabs>
          <w:tab w:val="num" w:pos="3600"/>
        </w:tabs>
        <w:ind w:left="3600" w:hanging="360"/>
      </w:pPr>
      <w:rPr>
        <w:rFonts w:ascii="Courier New" w:hAnsi="Courier New" w:hint="default"/>
      </w:rPr>
    </w:lvl>
    <w:lvl w:ilvl="5" w:tplc="4E58118A" w:tentative="1">
      <w:start w:val="1"/>
      <w:numFmt w:val="bullet"/>
      <w:lvlText w:val=""/>
      <w:lvlJc w:val="left"/>
      <w:pPr>
        <w:tabs>
          <w:tab w:val="num" w:pos="4320"/>
        </w:tabs>
        <w:ind w:left="4320" w:hanging="360"/>
      </w:pPr>
      <w:rPr>
        <w:rFonts w:ascii="Wingdings" w:hAnsi="Wingdings" w:hint="default"/>
      </w:rPr>
    </w:lvl>
    <w:lvl w:ilvl="6" w:tplc="49B4FDA8" w:tentative="1">
      <w:start w:val="1"/>
      <w:numFmt w:val="bullet"/>
      <w:lvlText w:val=""/>
      <w:lvlJc w:val="left"/>
      <w:pPr>
        <w:tabs>
          <w:tab w:val="num" w:pos="5040"/>
        </w:tabs>
        <w:ind w:left="5040" w:hanging="360"/>
      </w:pPr>
      <w:rPr>
        <w:rFonts w:ascii="Symbol" w:hAnsi="Symbol" w:hint="default"/>
      </w:rPr>
    </w:lvl>
    <w:lvl w:ilvl="7" w:tplc="A058FAD8" w:tentative="1">
      <w:start w:val="1"/>
      <w:numFmt w:val="bullet"/>
      <w:lvlText w:val="o"/>
      <w:lvlJc w:val="left"/>
      <w:pPr>
        <w:tabs>
          <w:tab w:val="num" w:pos="5760"/>
        </w:tabs>
        <w:ind w:left="5760" w:hanging="360"/>
      </w:pPr>
      <w:rPr>
        <w:rFonts w:ascii="Courier New" w:hAnsi="Courier New" w:hint="default"/>
      </w:rPr>
    </w:lvl>
    <w:lvl w:ilvl="8" w:tplc="F50EBFD8" w:tentative="1">
      <w:start w:val="1"/>
      <w:numFmt w:val="bullet"/>
      <w:lvlText w:val=""/>
      <w:lvlJc w:val="left"/>
      <w:pPr>
        <w:tabs>
          <w:tab w:val="num" w:pos="6480"/>
        </w:tabs>
        <w:ind w:left="6480" w:hanging="360"/>
      </w:pPr>
      <w:rPr>
        <w:rFonts w:ascii="Wingdings" w:hAnsi="Wingdings" w:hint="default"/>
      </w:rPr>
    </w:lvl>
  </w:abstractNum>
  <w:abstractNum w:abstractNumId="1">
    <w:nsid w:val="15A87080"/>
    <w:multiLevelType w:val="hybridMultilevel"/>
    <w:tmpl w:val="6DEC9150"/>
    <w:lvl w:ilvl="0" w:tplc="FFFFFFFF">
      <w:start w:val="1"/>
      <w:numFmt w:val="bullet"/>
      <w:lvlText w:val=""/>
      <w:lvlJc w:val="left"/>
      <w:pPr>
        <w:tabs>
          <w:tab w:val="num" w:pos="417"/>
        </w:tabs>
        <w:ind w:left="284"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F07135"/>
    <w:multiLevelType w:val="hybridMultilevel"/>
    <w:tmpl w:val="9C24814C"/>
    <w:lvl w:ilvl="0" w:tplc="DDEE7ED8">
      <w:start w:val="1"/>
      <w:numFmt w:val="decimal"/>
      <w:lvlText w:val="%1."/>
      <w:lvlJc w:val="left"/>
      <w:pPr>
        <w:tabs>
          <w:tab w:val="num" w:pos="360"/>
        </w:tabs>
        <w:ind w:left="360" w:hanging="360"/>
      </w:pPr>
      <w:rPr>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76160551"/>
    <w:multiLevelType w:val="hybridMultilevel"/>
    <w:tmpl w:val="5D92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F3"/>
    <w:rsid w:val="0004485F"/>
    <w:rsid w:val="000658BB"/>
    <w:rsid w:val="000B4310"/>
    <w:rsid w:val="000C19B6"/>
    <w:rsid w:val="000E07C2"/>
    <w:rsid w:val="001E0517"/>
    <w:rsid w:val="00260068"/>
    <w:rsid w:val="002714B2"/>
    <w:rsid w:val="0031383B"/>
    <w:rsid w:val="0033114D"/>
    <w:rsid w:val="00332A9C"/>
    <w:rsid w:val="0034699A"/>
    <w:rsid w:val="00354EF7"/>
    <w:rsid w:val="003F743A"/>
    <w:rsid w:val="004000D7"/>
    <w:rsid w:val="004B67B7"/>
    <w:rsid w:val="004D334F"/>
    <w:rsid w:val="00504E43"/>
    <w:rsid w:val="0052565B"/>
    <w:rsid w:val="005330FF"/>
    <w:rsid w:val="00536B4C"/>
    <w:rsid w:val="005A0B5E"/>
    <w:rsid w:val="005A2739"/>
    <w:rsid w:val="005E460D"/>
    <w:rsid w:val="00651597"/>
    <w:rsid w:val="007352C1"/>
    <w:rsid w:val="007356E3"/>
    <w:rsid w:val="00742E7F"/>
    <w:rsid w:val="007908F4"/>
    <w:rsid w:val="00793693"/>
    <w:rsid w:val="007A766B"/>
    <w:rsid w:val="00800FDB"/>
    <w:rsid w:val="00887C31"/>
    <w:rsid w:val="008A22C6"/>
    <w:rsid w:val="008F3166"/>
    <w:rsid w:val="009775CE"/>
    <w:rsid w:val="009D3F20"/>
    <w:rsid w:val="00AC1BF3"/>
    <w:rsid w:val="00AF6A22"/>
    <w:rsid w:val="00B660AE"/>
    <w:rsid w:val="00BC28DC"/>
    <w:rsid w:val="00C07F80"/>
    <w:rsid w:val="00C85E10"/>
    <w:rsid w:val="00D25919"/>
    <w:rsid w:val="00D565C7"/>
    <w:rsid w:val="00ED3400"/>
    <w:rsid w:val="00F27EC0"/>
    <w:rsid w:val="00F874C7"/>
    <w:rsid w:val="00F91D1C"/>
    <w:rsid w:val="00FB7E13"/>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7C2"/>
    <w:rPr>
      <w:sz w:val="16"/>
      <w:szCs w:val="16"/>
    </w:rPr>
  </w:style>
  <w:style w:type="paragraph" w:styleId="CommentText">
    <w:name w:val="annotation text"/>
    <w:basedOn w:val="Normal"/>
    <w:link w:val="CommentTextChar"/>
    <w:uiPriority w:val="99"/>
    <w:semiHidden/>
    <w:unhideWhenUsed/>
    <w:rsid w:val="000E07C2"/>
    <w:rPr>
      <w:sz w:val="20"/>
      <w:szCs w:val="20"/>
    </w:rPr>
  </w:style>
  <w:style w:type="character" w:customStyle="1" w:styleId="CommentTextChar">
    <w:name w:val="Comment Text Char"/>
    <w:basedOn w:val="DefaultParagraphFont"/>
    <w:link w:val="CommentText"/>
    <w:uiPriority w:val="99"/>
    <w:semiHidden/>
    <w:rsid w:val="000E07C2"/>
    <w:rPr>
      <w:sz w:val="20"/>
      <w:szCs w:val="20"/>
    </w:rPr>
  </w:style>
  <w:style w:type="paragraph" w:styleId="CommentSubject">
    <w:name w:val="annotation subject"/>
    <w:basedOn w:val="CommentText"/>
    <w:next w:val="CommentText"/>
    <w:link w:val="CommentSubjectChar"/>
    <w:uiPriority w:val="99"/>
    <w:semiHidden/>
    <w:unhideWhenUsed/>
    <w:rsid w:val="000E07C2"/>
    <w:rPr>
      <w:b/>
      <w:bCs/>
    </w:rPr>
  </w:style>
  <w:style w:type="character" w:customStyle="1" w:styleId="CommentSubjectChar">
    <w:name w:val="Comment Subject Char"/>
    <w:basedOn w:val="CommentTextChar"/>
    <w:link w:val="CommentSubject"/>
    <w:uiPriority w:val="99"/>
    <w:semiHidden/>
    <w:rsid w:val="000E07C2"/>
    <w:rPr>
      <w:b/>
      <w:bCs/>
      <w:sz w:val="20"/>
      <w:szCs w:val="20"/>
    </w:rPr>
  </w:style>
  <w:style w:type="paragraph" w:styleId="BalloonText">
    <w:name w:val="Balloon Text"/>
    <w:basedOn w:val="Normal"/>
    <w:link w:val="BalloonTextChar"/>
    <w:uiPriority w:val="99"/>
    <w:semiHidden/>
    <w:unhideWhenUsed/>
    <w:rsid w:val="000E07C2"/>
    <w:rPr>
      <w:rFonts w:ascii="Tahoma" w:hAnsi="Tahoma" w:cs="Tahoma"/>
      <w:sz w:val="16"/>
      <w:szCs w:val="16"/>
    </w:rPr>
  </w:style>
  <w:style w:type="character" w:customStyle="1" w:styleId="BalloonTextChar">
    <w:name w:val="Balloon Text Char"/>
    <w:basedOn w:val="DefaultParagraphFont"/>
    <w:link w:val="BalloonText"/>
    <w:uiPriority w:val="99"/>
    <w:semiHidden/>
    <w:rsid w:val="000E07C2"/>
    <w:rPr>
      <w:rFonts w:ascii="Tahoma" w:hAnsi="Tahoma" w:cs="Tahoma"/>
      <w:sz w:val="16"/>
      <w:szCs w:val="16"/>
    </w:rPr>
  </w:style>
  <w:style w:type="paragraph" w:styleId="ListParagraph">
    <w:name w:val="List Paragraph"/>
    <w:basedOn w:val="Normal"/>
    <w:uiPriority w:val="34"/>
    <w:qFormat/>
    <w:rsid w:val="00331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7C2"/>
    <w:rPr>
      <w:sz w:val="16"/>
      <w:szCs w:val="16"/>
    </w:rPr>
  </w:style>
  <w:style w:type="paragraph" w:styleId="CommentText">
    <w:name w:val="annotation text"/>
    <w:basedOn w:val="Normal"/>
    <w:link w:val="CommentTextChar"/>
    <w:uiPriority w:val="99"/>
    <w:semiHidden/>
    <w:unhideWhenUsed/>
    <w:rsid w:val="000E07C2"/>
    <w:rPr>
      <w:sz w:val="20"/>
      <w:szCs w:val="20"/>
    </w:rPr>
  </w:style>
  <w:style w:type="character" w:customStyle="1" w:styleId="CommentTextChar">
    <w:name w:val="Comment Text Char"/>
    <w:basedOn w:val="DefaultParagraphFont"/>
    <w:link w:val="CommentText"/>
    <w:uiPriority w:val="99"/>
    <w:semiHidden/>
    <w:rsid w:val="000E07C2"/>
    <w:rPr>
      <w:sz w:val="20"/>
      <w:szCs w:val="20"/>
    </w:rPr>
  </w:style>
  <w:style w:type="paragraph" w:styleId="CommentSubject">
    <w:name w:val="annotation subject"/>
    <w:basedOn w:val="CommentText"/>
    <w:next w:val="CommentText"/>
    <w:link w:val="CommentSubjectChar"/>
    <w:uiPriority w:val="99"/>
    <w:semiHidden/>
    <w:unhideWhenUsed/>
    <w:rsid w:val="000E07C2"/>
    <w:rPr>
      <w:b/>
      <w:bCs/>
    </w:rPr>
  </w:style>
  <w:style w:type="character" w:customStyle="1" w:styleId="CommentSubjectChar">
    <w:name w:val="Comment Subject Char"/>
    <w:basedOn w:val="CommentTextChar"/>
    <w:link w:val="CommentSubject"/>
    <w:uiPriority w:val="99"/>
    <w:semiHidden/>
    <w:rsid w:val="000E07C2"/>
    <w:rPr>
      <w:b/>
      <w:bCs/>
      <w:sz w:val="20"/>
      <w:szCs w:val="20"/>
    </w:rPr>
  </w:style>
  <w:style w:type="paragraph" w:styleId="BalloonText">
    <w:name w:val="Balloon Text"/>
    <w:basedOn w:val="Normal"/>
    <w:link w:val="BalloonTextChar"/>
    <w:uiPriority w:val="99"/>
    <w:semiHidden/>
    <w:unhideWhenUsed/>
    <w:rsid w:val="000E07C2"/>
    <w:rPr>
      <w:rFonts w:ascii="Tahoma" w:hAnsi="Tahoma" w:cs="Tahoma"/>
      <w:sz w:val="16"/>
      <w:szCs w:val="16"/>
    </w:rPr>
  </w:style>
  <w:style w:type="character" w:customStyle="1" w:styleId="BalloonTextChar">
    <w:name w:val="Balloon Text Char"/>
    <w:basedOn w:val="DefaultParagraphFont"/>
    <w:link w:val="BalloonText"/>
    <w:uiPriority w:val="99"/>
    <w:semiHidden/>
    <w:rsid w:val="000E07C2"/>
    <w:rPr>
      <w:rFonts w:ascii="Tahoma" w:hAnsi="Tahoma" w:cs="Tahoma"/>
      <w:sz w:val="16"/>
      <w:szCs w:val="16"/>
    </w:rPr>
  </w:style>
  <w:style w:type="paragraph" w:styleId="ListParagraph">
    <w:name w:val="List Paragraph"/>
    <w:basedOn w:val="Normal"/>
    <w:uiPriority w:val="34"/>
    <w:qFormat/>
    <w:rsid w:val="00331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6561-8388-4688-8516-751E307F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9113E3D</Template>
  <TotalTime>1</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catherine.phythian</dc:creator>
  <cp:lastModifiedBy>JMitchell</cp:lastModifiedBy>
  <cp:revision>4</cp:revision>
  <dcterms:created xsi:type="dcterms:W3CDTF">2020-01-17T16:32:00Z</dcterms:created>
  <dcterms:modified xsi:type="dcterms:W3CDTF">2020-01-21T09:33:00Z</dcterms:modified>
</cp:coreProperties>
</file>