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2438"/>
        <w:gridCol w:w="6406"/>
      </w:tblGrid>
      <w:tr w:rsidR="00CE544A" w:rsidRPr="00776D3F" w:rsidTr="005F7F7E">
        <w:tc>
          <w:tcPr>
            <w:tcW w:w="2438" w:type="dxa"/>
            <w:shd w:val="clear" w:color="auto" w:fill="auto"/>
          </w:tcPr>
          <w:p w:rsidR="00F445B1" w:rsidRPr="00776D3F" w:rsidRDefault="00F445B1" w:rsidP="004A6D2F">
            <w:pPr>
              <w:rPr>
                <w:rStyle w:val="Firstpagetablebold"/>
                <w:rFonts w:cs="Arial"/>
              </w:rPr>
            </w:pPr>
            <w:r w:rsidRPr="00776D3F">
              <w:rPr>
                <w:rStyle w:val="Firstpagetablebold"/>
                <w:rFonts w:cs="Arial"/>
              </w:rPr>
              <w:t>To</w:t>
            </w:r>
            <w:r w:rsidR="005C35A5" w:rsidRPr="00776D3F">
              <w:rPr>
                <w:rStyle w:val="Firstpagetablebold"/>
                <w:rFonts w:cs="Arial"/>
              </w:rPr>
              <w:t>:</w:t>
            </w:r>
          </w:p>
        </w:tc>
        <w:tc>
          <w:tcPr>
            <w:tcW w:w="6406" w:type="dxa"/>
            <w:shd w:val="clear" w:color="auto" w:fill="auto"/>
          </w:tcPr>
          <w:p w:rsidR="00F445B1" w:rsidRPr="00776D3F" w:rsidRDefault="004B698A" w:rsidP="004A6D2F">
            <w:pPr>
              <w:rPr>
                <w:rStyle w:val="Firstpagetablebold"/>
                <w:rFonts w:cs="Arial"/>
              </w:rPr>
            </w:pPr>
            <w:r w:rsidRPr="00776D3F">
              <w:rPr>
                <w:rStyle w:val="Firstpagetablebold"/>
                <w:rFonts w:cs="Arial"/>
              </w:rPr>
              <w:t>Housing Panel</w:t>
            </w:r>
          </w:p>
        </w:tc>
      </w:tr>
      <w:tr w:rsidR="00CE544A" w:rsidRPr="00776D3F" w:rsidTr="005F7F7E">
        <w:tc>
          <w:tcPr>
            <w:tcW w:w="2438" w:type="dxa"/>
            <w:shd w:val="clear" w:color="auto" w:fill="auto"/>
          </w:tcPr>
          <w:p w:rsidR="00F445B1" w:rsidRPr="00776D3F" w:rsidRDefault="00F445B1" w:rsidP="004A6D2F">
            <w:pPr>
              <w:rPr>
                <w:rStyle w:val="Firstpagetablebold"/>
                <w:rFonts w:cs="Arial"/>
              </w:rPr>
            </w:pPr>
            <w:r w:rsidRPr="00776D3F">
              <w:rPr>
                <w:rStyle w:val="Firstpagetablebold"/>
                <w:rFonts w:cs="Arial"/>
              </w:rPr>
              <w:t>Dat</w:t>
            </w:r>
            <w:r w:rsidR="005C35A5" w:rsidRPr="00776D3F">
              <w:rPr>
                <w:rStyle w:val="Firstpagetablebold"/>
                <w:rFonts w:cs="Arial"/>
              </w:rPr>
              <w:t>e:</w:t>
            </w:r>
          </w:p>
        </w:tc>
        <w:tc>
          <w:tcPr>
            <w:tcW w:w="6406" w:type="dxa"/>
            <w:shd w:val="clear" w:color="auto" w:fill="auto"/>
          </w:tcPr>
          <w:p w:rsidR="00F445B1" w:rsidRPr="00776D3F" w:rsidRDefault="002852D5" w:rsidP="005D0621">
            <w:pPr>
              <w:rPr>
                <w:rFonts w:cs="Arial"/>
                <w:b/>
              </w:rPr>
            </w:pPr>
            <w:r>
              <w:rPr>
                <w:rStyle w:val="Firstpagetablebold"/>
                <w:rFonts w:cs="Arial"/>
              </w:rPr>
              <w:t>16</w:t>
            </w:r>
            <w:r w:rsidRPr="00124798">
              <w:rPr>
                <w:rStyle w:val="Firstpagetablebold"/>
                <w:rFonts w:cs="Arial"/>
                <w:vertAlign w:val="superscript"/>
              </w:rPr>
              <w:t>th</w:t>
            </w:r>
            <w:r>
              <w:rPr>
                <w:rStyle w:val="Firstpagetablebold"/>
                <w:rFonts w:cs="Arial"/>
              </w:rPr>
              <w:t xml:space="preserve"> </w:t>
            </w:r>
            <w:r w:rsidR="0052413A">
              <w:rPr>
                <w:rStyle w:val="Firstpagetablebold"/>
                <w:rFonts w:cs="Arial"/>
              </w:rPr>
              <w:t>January 2018</w:t>
            </w:r>
          </w:p>
        </w:tc>
      </w:tr>
      <w:tr w:rsidR="00CE544A" w:rsidRPr="00776D3F" w:rsidTr="005F7F7E">
        <w:tc>
          <w:tcPr>
            <w:tcW w:w="2438" w:type="dxa"/>
            <w:shd w:val="clear" w:color="auto" w:fill="auto"/>
          </w:tcPr>
          <w:p w:rsidR="00F445B1" w:rsidRPr="00776D3F" w:rsidRDefault="00F445B1" w:rsidP="004A6D2F">
            <w:pPr>
              <w:rPr>
                <w:rStyle w:val="Firstpagetablebold"/>
                <w:rFonts w:cs="Arial"/>
              </w:rPr>
            </w:pPr>
            <w:r w:rsidRPr="00776D3F">
              <w:rPr>
                <w:rStyle w:val="Firstpagetablebold"/>
                <w:rFonts w:cs="Arial"/>
              </w:rPr>
              <w:t>Report of</w:t>
            </w:r>
            <w:r w:rsidR="005C35A5" w:rsidRPr="00776D3F">
              <w:rPr>
                <w:rStyle w:val="Firstpagetablebold"/>
                <w:rFonts w:cs="Arial"/>
              </w:rPr>
              <w:t>:</w:t>
            </w:r>
          </w:p>
        </w:tc>
        <w:tc>
          <w:tcPr>
            <w:tcW w:w="6406" w:type="dxa"/>
            <w:shd w:val="clear" w:color="auto" w:fill="auto"/>
          </w:tcPr>
          <w:p w:rsidR="00F445B1" w:rsidRPr="00776D3F" w:rsidRDefault="004B698A" w:rsidP="004A6D2F">
            <w:pPr>
              <w:rPr>
                <w:rStyle w:val="Firstpagetablebold"/>
                <w:rFonts w:cs="Arial"/>
              </w:rPr>
            </w:pPr>
            <w:r w:rsidRPr="00776D3F">
              <w:rPr>
                <w:rStyle w:val="Firstpagetablebold"/>
                <w:rFonts w:cs="Arial"/>
              </w:rPr>
              <w:t>Executive Director of Organisational Development and Corporate Services</w:t>
            </w:r>
          </w:p>
        </w:tc>
      </w:tr>
      <w:tr w:rsidR="00CE544A" w:rsidRPr="00776D3F" w:rsidTr="005F7F7E">
        <w:tc>
          <w:tcPr>
            <w:tcW w:w="2438" w:type="dxa"/>
            <w:shd w:val="clear" w:color="auto" w:fill="auto"/>
          </w:tcPr>
          <w:p w:rsidR="00F445B1" w:rsidRPr="00776D3F" w:rsidRDefault="00F445B1" w:rsidP="004A6D2F">
            <w:pPr>
              <w:rPr>
                <w:rStyle w:val="Firstpagetablebold"/>
                <w:rFonts w:cs="Arial"/>
              </w:rPr>
            </w:pPr>
            <w:r w:rsidRPr="00776D3F">
              <w:rPr>
                <w:rStyle w:val="Firstpagetablebold"/>
                <w:rFonts w:cs="Arial"/>
              </w:rPr>
              <w:t xml:space="preserve">Title of Report: </w:t>
            </w:r>
          </w:p>
        </w:tc>
        <w:tc>
          <w:tcPr>
            <w:tcW w:w="6406" w:type="dxa"/>
            <w:shd w:val="clear" w:color="auto" w:fill="auto"/>
          </w:tcPr>
          <w:p w:rsidR="00F445B1" w:rsidRPr="00776D3F" w:rsidRDefault="004B698A" w:rsidP="004A6D2F">
            <w:pPr>
              <w:rPr>
                <w:rStyle w:val="Firstpagetablebold"/>
                <w:rFonts w:cs="Arial"/>
              </w:rPr>
            </w:pPr>
            <w:r w:rsidRPr="00776D3F">
              <w:rPr>
                <w:rFonts w:cs="Arial"/>
                <w:b/>
              </w:rPr>
              <w:t>Review of Oxford City Council’s tower block refurbishment project relating to fire safety</w:t>
            </w:r>
          </w:p>
        </w:tc>
      </w:tr>
    </w:tbl>
    <w:p w:rsidR="004F20EF" w:rsidRPr="00776D3F"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2012"/>
        <w:gridCol w:w="6407"/>
      </w:tblGrid>
      <w:tr w:rsidR="00D5547E" w:rsidRPr="00776D3F" w:rsidTr="0080749A">
        <w:tc>
          <w:tcPr>
            <w:tcW w:w="8845" w:type="dxa"/>
            <w:gridSpan w:val="3"/>
            <w:tcBorders>
              <w:bottom w:val="single" w:sz="8" w:space="0" w:color="000000"/>
            </w:tcBorders>
            <w:hideMark/>
          </w:tcPr>
          <w:p w:rsidR="00D5547E" w:rsidRPr="00776D3F" w:rsidRDefault="00745BF0" w:rsidP="00745BF0">
            <w:pPr>
              <w:jc w:val="center"/>
              <w:rPr>
                <w:rStyle w:val="Firstpagetablebold"/>
                <w:rFonts w:cs="Arial"/>
              </w:rPr>
            </w:pPr>
            <w:r w:rsidRPr="00776D3F">
              <w:rPr>
                <w:rStyle w:val="Firstpagetablebold"/>
                <w:rFonts w:cs="Arial"/>
              </w:rPr>
              <w:t>Summary and r</w:t>
            </w:r>
            <w:r w:rsidR="00D5547E" w:rsidRPr="00776D3F">
              <w:rPr>
                <w:rStyle w:val="Firstpagetablebold"/>
                <w:rFonts w:cs="Arial"/>
              </w:rPr>
              <w:t>ecommendations</w:t>
            </w:r>
          </w:p>
        </w:tc>
      </w:tr>
      <w:tr w:rsidR="00D5547E" w:rsidRPr="00776D3F" w:rsidTr="0080749A">
        <w:tc>
          <w:tcPr>
            <w:tcW w:w="2438" w:type="dxa"/>
            <w:gridSpan w:val="2"/>
            <w:tcBorders>
              <w:top w:val="single" w:sz="8" w:space="0" w:color="000000"/>
              <w:left w:val="single" w:sz="8" w:space="0" w:color="000000"/>
              <w:bottom w:val="nil"/>
              <w:right w:val="nil"/>
            </w:tcBorders>
            <w:hideMark/>
          </w:tcPr>
          <w:p w:rsidR="00D5547E" w:rsidRPr="00776D3F" w:rsidRDefault="00D5547E">
            <w:pPr>
              <w:rPr>
                <w:rStyle w:val="Firstpagetablebold"/>
                <w:rFonts w:cs="Arial"/>
              </w:rPr>
            </w:pPr>
            <w:r w:rsidRPr="00776D3F">
              <w:rPr>
                <w:rStyle w:val="Firstpagetablebold"/>
                <w:rFonts w:cs="Arial"/>
              </w:rPr>
              <w:t>Purpose of report:</w:t>
            </w:r>
          </w:p>
        </w:tc>
        <w:tc>
          <w:tcPr>
            <w:tcW w:w="6407" w:type="dxa"/>
            <w:tcBorders>
              <w:top w:val="single" w:sz="8" w:space="0" w:color="000000"/>
              <w:left w:val="nil"/>
              <w:bottom w:val="nil"/>
              <w:right w:val="single" w:sz="8" w:space="0" w:color="000000"/>
            </w:tcBorders>
            <w:hideMark/>
          </w:tcPr>
          <w:p w:rsidR="00D5547E" w:rsidRPr="00776D3F" w:rsidRDefault="00776D3F" w:rsidP="000F4751">
            <w:pPr>
              <w:rPr>
                <w:rFonts w:cs="Arial"/>
              </w:rPr>
            </w:pPr>
            <w:r>
              <w:rPr>
                <w:rFonts w:cs="Arial"/>
              </w:rPr>
              <w:t>To inform the panel of the outcome of the review</w:t>
            </w:r>
          </w:p>
        </w:tc>
      </w:tr>
      <w:tr w:rsidR="00D5547E" w:rsidRPr="00776D3F" w:rsidTr="0080749A">
        <w:tc>
          <w:tcPr>
            <w:tcW w:w="2438" w:type="dxa"/>
            <w:gridSpan w:val="2"/>
            <w:tcBorders>
              <w:top w:val="nil"/>
              <w:left w:val="single" w:sz="8" w:space="0" w:color="000000"/>
              <w:bottom w:val="nil"/>
              <w:right w:val="nil"/>
            </w:tcBorders>
            <w:hideMark/>
          </w:tcPr>
          <w:p w:rsidR="00D5547E" w:rsidRPr="00776D3F" w:rsidRDefault="00D5547E">
            <w:pPr>
              <w:rPr>
                <w:rStyle w:val="Firstpagetablebold"/>
                <w:rFonts w:cs="Arial"/>
              </w:rPr>
            </w:pPr>
            <w:r w:rsidRPr="00776D3F">
              <w:rPr>
                <w:rStyle w:val="Firstpagetablebold"/>
                <w:rFonts w:cs="Arial"/>
              </w:rPr>
              <w:t>Key decision:</w:t>
            </w:r>
          </w:p>
        </w:tc>
        <w:tc>
          <w:tcPr>
            <w:tcW w:w="6407" w:type="dxa"/>
            <w:tcBorders>
              <w:top w:val="nil"/>
              <w:left w:val="nil"/>
              <w:bottom w:val="nil"/>
              <w:right w:val="single" w:sz="8" w:space="0" w:color="000000"/>
            </w:tcBorders>
            <w:hideMark/>
          </w:tcPr>
          <w:p w:rsidR="00D5547E" w:rsidRPr="00776D3F" w:rsidRDefault="005A578B" w:rsidP="005F7F7E">
            <w:pPr>
              <w:rPr>
                <w:rFonts w:cs="Arial"/>
              </w:rPr>
            </w:pPr>
            <w:r>
              <w:rPr>
                <w:rFonts w:cs="Arial"/>
              </w:rPr>
              <w:t>No</w:t>
            </w:r>
          </w:p>
        </w:tc>
      </w:tr>
      <w:tr w:rsidR="00D5547E" w:rsidRPr="00776D3F" w:rsidTr="0080749A">
        <w:tc>
          <w:tcPr>
            <w:tcW w:w="2438" w:type="dxa"/>
            <w:gridSpan w:val="2"/>
            <w:tcBorders>
              <w:top w:val="nil"/>
              <w:left w:val="single" w:sz="8" w:space="0" w:color="000000"/>
              <w:bottom w:val="nil"/>
              <w:right w:val="nil"/>
            </w:tcBorders>
            <w:hideMark/>
          </w:tcPr>
          <w:p w:rsidR="00D5547E" w:rsidRPr="00776D3F" w:rsidRDefault="00D5547E">
            <w:pPr>
              <w:rPr>
                <w:rStyle w:val="Firstpagetablebold"/>
                <w:rFonts w:cs="Arial"/>
              </w:rPr>
            </w:pPr>
            <w:r w:rsidRPr="00776D3F">
              <w:rPr>
                <w:rStyle w:val="Firstpagetablebold"/>
                <w:rFonts w:cs="Arial"/>
              </w:rPr>
              <w:t>Executive Board Member:</w:t>
            </w:r>
          </w:p>
        </w:tc>
        <w:tc>
          <w:tcPr>
            <w:tcW w:w="6407" w:type="dxa"/>
            <w:tcBorders>
              <w:top w:val="nil"/>
              <w:left w:val="nil"/>
              <w:bottom w:val="nil"/>
              <w:right w:val="single" w:sz="8" w:space="0" w:color="000000"/>
            </w:tcBorders>
            <w:hideMark/>
          </w:tcPr>
          <w:p w:rsidR="00D5547E" w:rsidRPr="00776D3F" w:rsidRDefault="00D5547E" w:rsidP="005A578B">
            <w:pPr>
              <w:rPr>
                <w:rFonts w:cs="Arial"/>
              </w:rPr>
            </w:pPr>
            <w:r w:rsidRPr="00776D3F">
              <w:rPr>
                <w:rFonts w:cs="Arial"/>
              </w:rPr>
              <w:t xml:space="preserve">Councillor </w:t>
            </w:r>
            <w:r w:rsidR="005A578B">
              <w:rPr>
                <w:rFonts w:cs="Arial"/>
              </w:rPr>
              <w:t>Mike Rowley, Housing</w:t>
            </w:r>
          </w:p>
        </w:tc>
      </w:tr>
      <w:tr w:rsidR="0080749A" w:rsidRPr="00776D3F" w:rsidTr="0080749A">
        <w:tc>
          <w:tcPr>
            <w:tcW w:w="2438" w:type="dxa"/>
            <w:gridSpan w:val="2"/>
            <w:tcBorders>
              <w:top w:val="nil"/>
              <w:left w:val="single" w:sz="8" w:space="0" w:color="000000"/>
              <w:bottom w:val="nil"/>
              <w:right w:val="nil"/>
            </w:tcBorders>
          </w:tcPr>
          <w:p w:rsidR="0080749A" w:rsidRPr="00776D3F" w:rsidRDefault="0080749A">
            <w:pPr>
              <w:rPr>
                <w:rStyle w:val="Firstpagetablebold"/>
                <w:rFonts w:cs="Arial"/>
              </w:rPr>
            </w:pPr>
            <w:r w:rsidRPr="00776D3F">
              <w:rPr>
                <w:rStyle w:val="Firstpagetablebold"/>
                <w:rFonts w:cs="Arial"/>
              </w:rPr>
              <w:t>Corporate Priority:</w:t>
            </w:r>
          </w:p>
        </w:tc>
        <w:tc>
          <w:tcPr>
            <w:tcW w:w="6407" w:type="dxa"/>
            <w:tcBorders>
              <w:top w:val="nil"/>
              <w:left w:val="nil"/>
              <w:bottom w:val="nil"/>
              <w:right w:val="single" w:sz="8" w:space="0" w:color="000000"/>
            </w:tcBorders>
          </w:tcPr>
          <w:p w:rsidR="0080749A" w:rsidRPr="00776D3F" w:rsidRDefault="005A578B" w:rsidP="005A578B">
            <w:pPr>
              <w:rPr>
                <w:rFonts w:cs="Arial"/>
              </w:rPr>
            </w:pPr>
            <w:r>
              <w:rPr>
                <w:rFonts w:cs="Arial"/>
              </w:rPr>
              <w:t>Meeting Housing Needs</w:t>
            </w:r>
          </w:p>
        </w:tc>
      </w:tr>
      <w:tr w:rsidR="00D5547E" w:rsidRPr="00776D3F" w:rsidTr="0080749A">
        <w:tc>
          <w:tcPr>
            <w:tcW w:w="2438" w:type="dxa"/>
            <w:gridSpan w:val="2"/>
            <w:tcBorders>
              <w:top w:val="nil"/>
              <w:left w:val="single" w:sz="8" w:space="0" w:color="000000"/>
              <w:bottom w:val="nil"/>
              <w:right w:val="nil"/>
            </w:tcBorders>
            <w:hideMark/>
          </w:tcPr>
          <w:p w:rsidR="00D5547E" w:rsidRPr="00776D3F" w:rsidRDefault="00D5547E">
            <w:pPr>
              <w:rPr>
                <w:rStyle w:val="Firstpagetablebold"/>
                <w:rFonts w:cs="Arial"/>
              </w:rPr>
            </w:pPr>
            <w:r w:rsidRPr="00776D3F">
              <w:rPr>
                <w:rStyle w:val="Firstpagetablebold"/>
                <w:rFonts w:cs="Arial"/>
              </w:rPr>
              <w:t>Policy Framework:</w:t>
            </w:r>
          </w:p>
        </w:tc>
        <w:tc>
          <w:tcPr>
            <w:tcW w:w="6407" w:type="dxa"/>
            <w:tcBorders>
              <w:top w:val="nil"/>
              <w:left w:val="nil"/>
              <w:bottom w:val="nil"/>
              <w:right w:val="single" w:sz="8" w:space="0" w:color="000000"/>
            </w:tcBorders>
            <w:hideMark/>
          </w:tcPr>
          <w:p w:rsidR="00D5547E" w:rsidRPr="00776D3F" w:rsidRDefault="005A578B" w:rsidP="005F7F7E">
            <w:pPr>
              <w:rPr>
                <w:rFonts w:cs="Arial"/>
              </w:rPr>
            </w:pPr>
            <w:r>
              <w:rPr>
                <w:rFonts w:cs="Arial"/>
              </w:rPr>
              <w:t>Corporate Plan / Housing Strategy</w:t>
            </w:r>
          </w:p>
        </w:tc>
      </w:tr>
      <w:tr w:rsidR="005F7F7E" w:rsidRPr="00776D3F" w:rsidTr="00A46E98">
        <w:trPr>
          <w:trHeight w:val="413"/>
        </w:trPr>
        <w:tc>
          <w:tcPr>
            <w:tcW w:w="8845" w:type="dxa"/>
            <w:gridSpan w:val="3"/>
            <w:tcBorders>
              <w:bottom w:val="single" w:sz="8" w:space="0" w:color="000000"/>
            </w:tcBorders>
          </w:tcPr>
          <w:p w:rsidR="005F7F7E" w:rsidRPr="00776D3F" w:rsidRDefault="005F7F7E" w:rsidP="00776D3F">
            <w:pPr>
              <w:rPr>
                <w:rFonts w:cs="Arial"/>
              </w:rPr>
            </w:pPr>
            <w:r w:rsidRPr="00776D3F">
              <w:rPr>
                <w:rStyle w:val="Firstpagetablebold"/>
                <w:rFonts w:cs="Arial"/>
              </w:rPr>
              <w:t xml:space="preserve">Recommendation(s):That </w:t>
            </w:r>
            <w:r w:rsidR="00776D3F">
              <w:rPr>
                <w:rStyle w:val="Firstpagetablebold"/>
                <w:rFonts w:cs="Arial"/>
              </w:rPr>
              <w:t>Housing Panel</w:t>
            </w:r>
            <w:r w:rsidRPr="00776D3F">
              <w:rPr>
                <w:rStyle w:val="Firstpagetablebold"/>
                <w:rFonts w:cs="Arial"/>
              </w:rPr>
              <w:t xml:space="preserve"> resolves to:</w:t>
            </w:r>
          </w:p>
        </w:tc>
      </w:tr>
      <w:tr w:rsidR="0030208D" w:rsidRPr="00776D3F" w:rsidTr="00A46E98">
        <w:trPr>
          <w:trHeight w:val="283"/>
        </w:trPr>
        <w:tc>
          <w:tcPr>
            <w:tcW w:w="426" w:type="dxa"/>
            <w:tcBorders>
              <w:top w:val="single" w:sz="8" w:space="0" w:color="000000"/>
              <w:left w:val="single" w:sz="8" w:space="0" w:color="000000"/>
              <w:bottom w:val="nil"/>
              <w:right w:val="nil"/>
            </w:tcBorders>
          </w:tcPr>
          <w:p w:rsidR="0030208D" w:rsidRPr="00776D3F" w:rsidRDefault="0030208D" w:rsidP="004A6D2F">
            <w:pPr>
              <w:rPr>
                <w:rFonts w:cs="Arial"/>
              </w:rPr>
            </w:pPr>
          </w:p>
        </w:tc>
        <w:tc>
          <w:tcPr>
            <w:tcW w:w="8419" w:type="dxa"/>
            <w:gridSpan w:val="2"/>
            <w:tcBorders>
              <w:top w:val="single" w:sz="8" w:space="0" w:color="000000"/>
              <w:left w:val="nil"/>
              <w:bottom w:val="nil"/>
              <w:right w:val="single" w:sz="8" w:space="0" w:color="000000"/>
            </w:tcBorders>
            <w:shd w:val="clear" w:color="auto" w:fill="auto"/>
          </w:tcPr>
          <w:p w:rsidR="0030208D" w:rsidRPr="002B7412" w:rsidRDefault="00776D3F" w:rsidP="00776D3F">
            <w:pPr>
              <w:rPr>
                <w:rFonts w:cs="Arial"/>
                <w:b/>
              </w:rPr>
            </w:pPr>
            <w:r w:rsidRPr="002B7412">
              <w:rPr>
                <w:rStyle w:val="Firstpagetablebold"/>
                <w:rFonts w:cs="Arial"/>
                <w:b w:val="0"/>
              </w:rPr>
              <w:t>Note the outcome of the review, including the lessons learned and the actions taken</w:t>
            </w:r>
            <w:r w:rsidR="00E821AC">
              <w:rPr>
                <w:rStyle w:val="Firstpagetablebold"/>
                <w:rFonts w:cs="Arial"/>
                <w:b w:val="0"/>
              </w:rPr>
              <w:t>.</w:t>
            </w:r>
          </w:p>
        </w:tc>
      </w:tr>
      <w:tr w:rsidR="00232F5B" w:rsidRPr="00776D3F" w:rsidTr="00A46E98">
        <w:trPr>
          <w:trHeight w:val="283"/>
        </w:trPr>
        <w:tc>
          <w:tcPr>
            <w:tcW w:w="426" w:type="dxa"/>
            <w:tcBorders>
              <w:top w:val="nil"/>
              <w:left w:val="single" w:sz="8" w:space="0" w:color="000000"/>
              <w:bottom w:val="single" w:sz="8" w:space="0" w:color="000000"/>
              <w:right w:val="nil"/>
            </w:tcBorders>
          </w:tcPr>
          <w:p w:rsidR="0030208D" w:rsidRPr="00776D3F" w:rsidRDefault="0030208D" w:rsidP="004A6D2F">
            <w:pPr>
              <w:rPr>
                <w:rFonts w:cs="Arial"/>
              </w:rPr>
            </w:pPr>
          </w:p>
        </w:tc>
        <w:tc>
          <w:tcPr>
            <w:tcW w:w="8419" w:type="dxa"/>
            <w:gridSpan w:val="2"/>
            <w:tcBorders>
              <w:top w:val="nil"/>
              <w:left w:val="nil"/>
              <w:bottom w:val="single" w:sz="8" w:space="0" w:color="000000"/>
              <w:right w:val="single" w:sz="8" w:space="0" w:color="000000"/>
            </w:tcBorders>
            <w:shd w:val="clear" w:color="auto" w:fill="auto"/>
          </w:tcPr>
          <w:p w:rsidR="0030208D" w:rsidRPr="00776D3F" w:rsidRDefault="0030208D" w:rsidP="00247C29">
            <w:pPr>
              <w:rPr>
                <w:rFonts w:cs="Arial"/>
              </w:rPr>
            </w:pPr>
          </w:p>
        </w:tc>
      </w:tr>
    </w:tbl>
    <w:p w:rsidR="00CE544A" w:rsidRPr="00776D3F" w:rsidRDefault="00CE544A" w:rsidP="004A6D2F">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406"/>
      </w:tblGrid>
      <w:tr w:rsidR="00966D42" w:rsidRPr="00776D3F" w:rsidTr="00A46E98">
        <w:tc>
          <w:tcPr>
            <w:tcW w:w="8844" w:type="dxa"/>
            <w:gridSpan w:val="2"/>
            <w:tcBorders>
              <w:top w:val="single" w:sz="8" w:space="0" w:color="000000"/>
              <w:left w:val="single" w:sz="8" w:space="0" w:color="000000"/>
              <w:bottom w:val="single" w:sz="8" w:space="0" w:color="000000"/>
              <w:right w:val="single" w:sz="8" w:space="0" w:color="000000"/>
            </w:tcBorders>
            <w:shd w:val="clear" w:color="auto" w:fill="auto"/>
          </w:tcPr>
          <w:p w:rsidR="00966D42" w:rsidRPr="00776D3F" w:rsidRDefault="00966D42" w:rsidP="00263EA3">
            <w:pPr>
              <w:jc w:val="center"/>
              <w:rPr>
                <w:rFonts w:cs="Arial"/>
              </w:rPr>
            </w:pPr>
            <w:r w:rsidRPr="00776D3F">
              <w:rPr>
                <w:rStyle w:val="Firstpagetablebold"/>
                <w:rFonts w:cs="Arial"/>
              </w:rPr>
              <w:t>Appendices</w:t>
            </w:r>
          </w:p>
        </w:tc>
      </w:tr>
      <w:tr w:rsidR="00ED5860" w:rsidRPr="00776D3F" w:rsidTr="00A46E98">
        <w:tc>
          <w:tcPr>
            <w:tcW w:w="2438" w:type="dxa"/>
            <w:tcBorders>
              <w:top w:val="single" w:sz="8" w:space="0" w:color="000000"/>
              <w:left w:val="single" w:sz="8" w:space="0" w:color="000000"/>
              <w:bottom w:val="nil"/>
              <w:right w:val="nil"/>
            </w:tcBorders>
            <w:shd w:val="clear" w:color="auto" w:fill="auto"/>
          </w:tcPr>
          <w:p w:rsidR="00ED5860" w:rsidRPr="00776D3F" w:rsidRDefault="005A578B" w:rsidP="004A6D2F">
            <w:pPr>
              <w:rPr>
                <w:rFonts w:cs="Arial"/>
              </w:rPr>
            </w:pPr>
            <w:r>
              <w:rPr>
                <w:rFonts w:cs="Arial"/>
              </w:rPr>
              <w:t>None</w:t>
            </w:r>
          </w:p>
        </w:tc>
        <w:tc>
          <w:tcPr>
            <w:tcW w:w="6406" w:type="dxa"/>
            <w:tcBorders>
              <w:top w:val="single" w:sz="8" w:space="0" w:color="000000"/>
              <w:left w:val="nil"/>
              <w:bottom w:val="nil"/>
              <w:right w:val="single" w:sz="8" w:space="0" w:color="000000"/>
            </w:tcBorders>
          </w:tcPr>
          <w:p w:rsidR="00ED5860" w:rsidRPr="00776D3F" w:rsidRDefault="00ED5860" w:rsidP="004A6D2F">
            <w:pPr>
              <w:rPr>
                <w:rFonts w:cs="Arial"/>
              </w:rPr>
            </w:pPr>
          </w:p>
        </w:tc>
      </w:tr>
      <w:tr w:rsidR="0030208D" w:rsidRPr="00776D3F" w:rsidTr="00A46E98">
        <w:tc>
          <w:tcPr>
            <w:tcW w:w="2438" w:type="dxa"/>
            <w:tcBorders>
              <w:top w:val="nil"/>
              <w:left w:val="single" w:sz="8" w:space="0" w:color="000000"/>
              <w:bottom w:val="single" w:sz="8" w:space="0" w:color="000000"/>
              <w:right w:val="nil"/>
            </w:tcBorders>
            <w:shd w:val="clear" w:color="auto" w:fill="auto"/>
          </w:tcPr>
          <w:p w:rsidR="0030208D" w:rsidRPr="00776D3F" w:rsidRDefault="0030208D" w:rsidP="004A6D2F">
            <w:pPr>
              <w:rPr>
                <w:rFonts w:cs="Arial"/>
              </w:rPr>
            </w:pPr>
          </w:p>
        </w:tc>
        <w:tc>
          <w:tcPr>
            <w:tcW w:w="6406" w:type="dxa"/>
            <w:tcBorders>
              <w:top w:val="nil"/>
              <w:left w:val="nil"/>
              <w:bottom w:val="single" w:sz="8" w:space="0" w:color="000000"/>
              <w:right w:val="single" w:sz="8" w:space="0" w:color="000000"/>
            </w:tcBorders>
          </w:tcPr>
          <w:p w:rsidR="0030208D" w:rsidRPr="00776D3F" w:rsidRDefault="0030208D" w:rsidP="004A6D2F">
            <w:pPr>
              <w:rPr>
                <w:rFonts w:cs="Arial"/>
              </w:rPr>
            </w:pPr>
          </w:p>
        </w:tc>
      </w:tr>
    </w:tbl>
    <w:p w:rsidR="00DC6785" w:rsidRDefault="00DC6785" w:rsidP="00DC6785">
      <w:pPr>
        <w:pStyle w:val="Heading1"/>
        <w:spacing w:before="0" w:after="0"/>
        <w:rPr>
          <w:rFonts w:cs="Arial"/>
        </w:rPr>
      </w:pPr>
    </w:p>
    <w:p w:rsidR="0040736F" w:rsidRPr="00776D3F" w:rsidRDefault="00F66DCA" w:rsidP="00DC6785">
      <w:pPr>
        <w:pStyle w:val="Heading1"/>
        <w:spacing w:before="120"/>
        <w:rPr>
          <w:rFonts w:cs="Arial"/>
        </w:rPr>
      </w:pPr>
      <w:r w:rsidRPr="00776D3F">
        <w:rPr>
          <w:rFonts w:cs="Arial"/>
        </w:rPr>
        <w:t>Introduction and b</w:t>
      </w:r>
      <w:r w:rsidR="00151888" w:rsidRPr="00776D3F">
        <w:rPr>
          <w:rFonts w:cs="Arial"/>
        </w:rPr>
        <w:t>ackground</w:t>
      </w:r>
      <w:r w:rsidR="00404032" w:rsidRPr="00776D3F">
        <w:rPr>
          <w:rFonts w:cs="Arial"/>
        </w:rPr>
        <w:t xml:space="preserve"> </w:t>
      </w:r>
    </w:p>
    <w:p w:rsidR="00E87F7A" w:rsidRPr="00776D3F" w:rsidRDefault="004B698A" w:rsidP="005570B5">
      <w:pPr>
        <w:pStyle w:val="ListParagraph"/>
        <w:rPr>
          <w:rFonts w:cs="Arial"/>
        </w:rPr>
      </w:pPr>
      <w:r w:rsidRPr="00776D3F">
        <w:rPr>
          <w:rFonts w:cs="Arial"/>
        </w:rPr>
        <w:t>Following the Grenfell Tower fire in London, the Corporate Management Team commissioned a review into fire safety aspects of the Council’s tower block refurbishment project, specifically the use of aluminium composite material (ACM) rain screen cladding on parts of two tower blocks in Blackbird Leys.</w:t>
      </w:r>
      <w:r w:rsidR="002407E6">
        <w:rPr>
          <w:rFonts w:cs="Arial"/>
        </w:rPr>
        <w:t xml:space="preserve">  </w:t>
      </w:r>
    </w:p>
    <w:p w:rsidR="005C4DE0" w:rsidRDefault="004B698A" w:rsidP="005570B5">
      <w:pPr>
        <w:pStyle w:val="ListParagraph"/>
        <w:rPr>
          <w:rFonts w:cs="Arial"/>
        </w:rPr>
      </w:pPr>
      <w:r w:rsidRPr="00776D3F">
        <w:rPr>
          <w:rFonts w:cs="Arial"/>
        </w:rPr>
        <w:t xml:space="preserve">The reasons for the spread of the fire at Grenfell Tower are the subject of </w:t>
      </w:r>
      <w:r w:rsidR="0051555A">
        <w:rPr>
          <w:rFonts w:cs="Arial"/>
        </w:rPr>
        <w:t>a Public Inquiry</w:t>
      </w:r>
      <w:r w:rsidRPr="00776D3F">
        <w:rPr>
          <w:rFonts w:cs="Arial"/>
        </w:rPr>
        <w:t xml:space="preserve"> but there has </w:t>
      </w:r>
      <w:r w:rsidR="0051555A" w:rsidRPr="00776D3F">
        <w:rPr>
          <w:rFonts w:cs="Arial"/>
        </w:rPr>
        <w:t>been</w:t>
      </w:r>
      <w:r w:rsidR="0051555A">
        <w:rPr>
          <w:rFonts w:cs="Arial"/>
        </w:rPr>
        <w:t xml:space="preserve"> considerable focus and </w:t>
      </w:r>
      <w:r w:rsidRPr="00776D3F">
        <w:rPr>
          <w:rFonts w:cs="Arial"/>
        </w:rPr>
        <w:t xml:space="preserve">speculation about the role of ACM rain screen cladding. </w:t>
      </w:r>
    </w:p>
    <w:p w:rsidR="002407E6" w:rsidRPr="0052413A" w:rsidRDefault="002407E6" w:rsidP="002407E6">
      <w:pPr>
        <w:pStyle w:val="ListParagraph"/>
        <w:tabs>
          <w:tab w:val="clear" w:pos="426"/>
          <w:tab w:val="left" w:pos="709"/>
        </w:tabs>
        <w:rPr>
          <w:rFonts w:cs="Arial"/>
          <w:color w:val="auto"/>
        </w:rPr>
      </w:pPr>
      <w:r w:rsidRPr="0052413A">
        <w:rPr>
          <w:rFonts w:cs="Arial"/>
          <w:color w:val="auto"/>
        </w:rPr>
        <w:t>Following the Grenfell Tower disaster, the government conducted large scale tests to allow experts to better understand how different types of cladding panels behave with different types of insulation</w:t>
      </w:r>
      <w:r w:rsidR="0051555A">
        <w:rPr>
          <w:rFonts w:cs="Arial"/>
          <w:color w:val="auto"/>
        </w:rPr>
        <w:t xml:space="preserve"> in a fire situation</w:t>
      </w:r>
      <w:r w:rsidRPr="0052413A">
        <w:rPr>
          <w:rFonts w:cs="Arial"/>
          <w:color w:val="auto"/>
        </w:rPr>
        <w:t>.  The cladding system used on parts of two tower blocks in Blackbird Leys failed this test.</w:t>
      </w:r>
    </w:p>
    <w:p w:rsidR="005C4DE0" w:rsidRPr="00776D3F" w:rsidRDefault="005C4DE0" w:rsidP="005C4DE0">
      <w:pPr>
        <w:pStyle w:val="ListParagraph"/>
        <w:rPr>
          <w:rFonts w:cs="Arial"/>
        </w:rPr>
      </w:pPr>
      <w:r w:rsidRPr="00776D3F">
        <w:rPr>
          <w:rFonts w:cs="Arial"/>
        </w:rPr>
        <w:lastRenderedPageBreak/>
        <w:t xml:space="preserve">The review addresses the following five key issues: </w:t>
      </w:r>
    </w:p>
    <w:p w:rsidR="005C4DE0" w:rsidRPr="00776D3F" w:rsidRDefault="005C4DE0" w:rsidP="005C4DE0">
      <w:pPr>
        <w:pStyle w:val="ListParagraph"/>
        <w:numPr>
          <w:ilvl w:val="0"/>
          <w:numId w:val="0"/>
        </w:numPr>
        <w:ind w:left="426"/>
        <w:rPr>
          <w:rFonts w:cs="Arial"/>
          <w:i/>
        </w:rPr>
      </w:pPr>
      <w:r w:rsidRPr="00776D3F">
        <w:rPr>
          <w:rFonts w:cs="Arial"/>
          <w:i/>
        </w:rPr>
        <w:t>1. How the specification of the cladding to the tower blocks was derived</w:t>
      </w:r>
    </w:p>
    <w:p w:rsidR="005C4DE0" w:rsidRPr="00776D3F" w:rsidRDefault="005C4DE0" w:rsidP="005C4DE0">
      <w:pPr>
        <w:pStyle w:val="ListParagraph"/>
        <w:numPr>
          <w:ilvl w:val="0"/>
          <w:numId w:val="0"/>
        </w:numPr>
        <w:ind w:left="426"/>
        <w:rPr>
          <w:rFonts w:cs="Arial"/>
          <w:i/>
        </w:rPr>
      </w:pPr>
      <w:r w:rsidRPr="00776D3F">
        <w:rPr>
          <w:rFonts w:cs="Arial"/>
          <w:i/>
        </w:rPr>
        <w:t xml:space="preserve">2. After the contract was awarded, </w:t>
      </w:r>
      <w:r w:rsidR="008230B0">
        <w:rPr>
          <w:rFonts w:cs="Arial"/>
          <w:i/>
        </w:rPr>
        <w:t>t</w:t>
      </w:r>
      <w:r w:rsidRPr="00776D3F">
        <w:rPr>
          <w:rFonts w:cs="Arial"/>
          <w:i/>
        </w:rPr>
        <w:t>he level of scrutiny given to the design specification</w:t>
      </w:r>
    </w:p>
    <w:p w:rsidR="005C4DE0" w:rsidRPr="00776D3F" w:rsidRDefault="005C4DE0" w:rsidP="005C4DE0">
      <w:pPr>
        <w:pStyle w:val="ListParagraph"/>
        <w:numPr>
          <w:ilvl w:val="0"/>
          <w:numId w:val="0"/>
        </w:numPr>
        <w:ind w:left="426"/>
        <w:rPr>
          <w:rFonts w:cs="Arial"/>
          <w:i/>
        </w:rPr>
      </w:pPr>
      <w:r w:rsidRPr="00776D3F">
        <w:rPr>
          <w:rFonts w:cs="Arial"/>
          <w:i/>
        </w:rPr>
        <w:t>3. Whether the cladding was installed as specified</w:t>
      </w:r>
    </w:p>
    <w:p w:rsidR="005C4DE0" w:rsidRPr="00776D3F" w:rsidRDefault="005C4DE0" w:rsidP="005C4DE0">
      <w:pPr>
        <w:pStyle w:val="ListParagraph"/>
        <w:numPr>
          <w:ilvl w:val="0"/>
          <w:numId w:val="0"/>
        </w:numPr>
        <w:ind w:left="426"/>
        <w:rPr>
          <w:rFonts w:cs="Arial"/>
          <w:i/>
        </w:rPr>
      </w:pPr>
      <w:r w:rsidRPr="00776D3F">
        <w:rPr>
          <w:rFonts w:cs="Arial"/>
          <w:i/>
        </w:rPr>
        <w:t>4. How the statutory approval process was carried out (to include how Building Regulations and other fire safety requirements known at the time were met</w:t>
      </w:r>
      <w:r w:rsidR="007168E3">
        <w:rPr>
          <w:rFonts w:cs="Arial"/>
          <w:i/>
        </w:rPr>
        <w:t>)</w:t>
      </w:r>
    </w:p>
    <w:p w:rsidR="005C4DE0" w:rsidRPr="00776D3F" w:rsidRDefault="005C4DE0" w:rsidP="005C4DE0">
      <w:pPr>
        <w:pStyle w:val="ListParagraph"/>
        <w:numPr>
          <w:ilvl w:val="0"/>
          <w:numId w:val="0"/>
        </w:numPr>
        <w:ind w:left="426"/>
        <w:rPr>
          <w:rFonts w:cs="Arial"/>
          <w:i/>
        </w:rPr>
      </w:pPr>
      <w:r w:rsidRPr="00776D3F">
        <w:rPr>
          <w:rFonts w:cs="Arial"/>
          <w:i/>
        </w:rPr>
        <w:t>5. The engagement that took place with residents about the fire protection arrangements</w:t>
      </w:r>
      <w:r w:rsidR="007168E3">
        <w:rPr>
          <w:rFonts w:cs="Arial"/>
          <w:i/>
        </w:rPr>
        <w:t>.</w:t>
      </w:r>
      <w:r w:rsidRPr="00776D3F">
        <w:rPr>
          <w:rFonts w:cs="Arial"/>
          <w:i/>
        </w:rPr>
        <w:t xml:space="preserve">  </w:t>
      </w:r>
    </w:p>
    <w:p w:rsidR="005C4DE0" w:rsidRPr="00776D3F" w:rsidRDefault="005C4DE0" w:rsidP="005C4DE0">
      <w:pPr>
        <w:pStyle w:val="ListParagraph"/>
        <w:numPr>
          <w:ilvl w:val="0"/>
          <w:numId w:val="0"/>
        </w:numPr>
        <w:ind w:left="426" w:hanging="426"/>
        <w:rPr>
          <w:rFonts w:cs="Arial"/>
        </w:rPr>
      </w:pPr>
    </w:p>
    <w:p w:rsidR="00CA1BE8" w:rsidRPr="00776D3F" w:rsidRDefault="002B7412" w:rsidP="005C4DE0">
      <w:pPr>
        <w:pStyle w:val="ListParagraph"/>
        <w:numPr>
          <w:ilvl w:val="0"/>
          <w:numId w:val="0"/>
        </w:numPr>
        <w:ind w:left="426" w:hanging="426"/>
        <w:rPr>
          <w:rFonts w:cs="Arial"/>
          <w:b/>
        </w:rPr>
      </w:pPr>
      <w:r>
        <w:rPr>
          <w:rFonts w:cs="Arial"/>
          <w:b/>
        </w:rPr>
        <w:t>Summary of Findings</w:t>
      </w:r>
    </w:p>
    <w:p w:rsidR="00310EE7" w:rsidRPr="00AD65EC" w:rsidRDefault="00310EE7" w:rsidP="00AD65EC">
      <w:pPr>
        <w:pStyle w:val="ListParagraph"/>
        <w:rPr>
          <w:rFonts w:cs="Arial"/>
        </w:rPr>
      </w:pPr>
      <w:r w:rsidRPr="00AD65EC">
        <w:rPr>
          <w:rFonts w:cs="Arial"/>
        </w:rPr>
        <w:t xml:space="preserve">There is no </w:t>
      </w:r>
      <w:r w:rsidR="007168E3">
        <w:rPr>
          <w:rFonts w:cs="Arial"/>
        </w:rPr>
        <w:t xml:space="preserve">evidence </w:t>
      </w:r>
      <w:r w:rsidRPr="00AD65EC">
        <w:rPr>
          <w:rFonts w:cs="Arial"/>
        </w:rPr>
        <w:t xml:space="preserve">that there were any failings in the </w:t>
      </w:r>
      <w:r w:rsidR="007168E3">
        <w:rPr>
          <w:rFonts w:cs="Arial"/>
        </w:rPr>
        <w:t xml:space="preserve">Council’s </w:t>
      </w:r>
      <w:r w:rsidRPr="00AD65EC">
        <w:rPr>
          <w:rFonts w:cs="Arial"/>
        </w:rPr>
        <w:t xml:space="preserve">tower block refurbishment project.  </w:t>
      </w:r>
    </w:p>
    <w:p w:rsidR="00310EE7" w:rsidRPr="00F83832" w:rsidRDefault="00310EE7" w:rsidP="002B7412">
      <w:pPr>
        <w:pStyle w:val="ListParagraph"/>
        <w:rPr>
          <w:rFonts w:cs="Arial"/>
        </w:rPr>
      </w:pPr>
      <w:r w:rsidRPr="00F83832">
        <w:t xml:space="preserve">ACM rain screen cladding is a material that has been widely used across the UK on housing projects and at high elevations.  </w:t>
      </w:r>
      <w:r w:rsidR="000F3555">
        <w:t>Until the Government’s</w:t>
      </w:r>
      <w:r w:rsidR="007168E3">
        <w:t xml:space="preserve"> testing regime was implemented there was n</w:t>
      </w:r>
      <w:r w:rsidRPr="00F83832">
        <w:t>o</w:t>
      </w:r>
      <w:r w:rsidR="007168E3">
        <w:t xml:space="preserve"> evidence </w:t>
      </w:r>
      <w:r w:rsidRPr="00F83832">
        <w:t xml:space="preserve">to suggest that there was anything untoward in the choice of this material for use on parts of two of the five tower blocks in Oxford.  </w:t>
      </w:r>
      <w:r w:rsidR="00F83832" w:rsidRPr="00F83832">
        <w:t>T</w:t>
      </w:r>
      <w:r w:rsidRPr="00F83832">
        <w:t xml:space="preserve">he Council’s interpretation of the Building Regulations was </w:t>
      </w:r>
      <w:r w:rsidR="00524CFC">
        <w:t>in line with that of the industry</w:t>
      </w:r>
      <w:r w:rsidRPr="00F83832">
        <w:t xml:space="preserve">, </w:t>
      </w:r>
      <w:r w:rsidR="0051555A">
        <w:t>although there have been suggestions that</w:t>
      </w:r>
      <w:r w:rsidRPr="00F83832">
        <w:t xml:space="preserve"> the regulations </w:t>
      </w:r>
      <w:r w:rsidR="0051555A">
        <w:t>were</w:t>
      </w:r>
      <w:r w:rsidR="0051555A" w:rsidRPr="00F83832">
        <w:t xml:space="preserve"> </w:t>
      </w:r>
      <w:r w:rsidRPr="00F83832">
        <w:t>open to different interpretation</w:t>
      </w:r>
      <w:r w:rsidR="000F3555">
        <w:t>s</w:t>
      </w:r>
      <w:r w:rsidRPr="00F83832">
        <w:t xml:space="preserve">.  </w:t>
      </w:r>
      <w:r w:rsidR="000F3555">
        <w:t xml:space="preserve">No doubt, </w:t>
      </w:r>
      <w:r w:rsidR="0051555A">
        <w:t xml:space="preserve">the Public Inquiry and the separate independent review of the regulations will provide clarity.  </w:t>
      </w:r>
      <w:r w:rsidRPr="00F83832">
        <w:t>It should also be stressed that the ACM was used over stone wool insulation (“Rockwool”), which is non-combustible (as opposed to the thermoset plastic insulation used on Grenfell Tower, which is classed as combustible).</w:t>
      </w:r>
    </w:p>
    <w:p w:rsidR="00AD65EC" w:rsidRPr="00AD65EC" w:rsidRDefault="00AD65EC" w:rsidP="002B7412">
      <w:pPr>
        <w:pStyle w:val="ListParagraph"/>
        <w:rPr>
          <w:rFonts w:cs="Arial"/>
        </w:rPr>
      </w:pPr>
      <w:r>
        <w:rPr>
          <w:rFonts w:cs="Arial"/>
        </w:rPr>
        <w:t>T</w:t>
      </w:r>
      <w:r w:rsidRPr="00AD65EC">
        <w:rPr>
          <w:rFonts w:cs="Arial"/>
        </w:rPr>
        <w:t xml:space="preserve">he decision to install sprinklers and an enhanced fire detection system </w:t>
      </w:r>
      <w:r w:rsidR="00524CFC">
        <w:rPr>
          <w:rFonts w:cs="Arial"/>
        </w:rPr>
        <w:t xml:space="preserve">within the original specification </w:t>
      </w:r>
      <w:r w:rsidRPr="00AD65EC">
        <w:rPr>
          <w:rFonts w:cs="Arial"/>
        </w:rPr>
        <w:t xml:space="preserve">took direct account of the Coroner’s Report following the </w:t>
      </w:r>
      <w:proofErr w:type="spellStart"/>
      <w:r w:rsidRPr="00AD65EC">
        <w:rPr>
          <w:rFonts w:cs="Arial"/>
        </w:rPr>
        <w:t>Lakanal</w:t>
      </w:r>
      <w:proofErr w:type="spellEnd"/>
      <w:r w:rsidRPr="00AD65EC">
        <w:rPr>
          <w:rFonts w:cs="Arial"/>
        </w:rPr>
        <w:t xml:space="preserve"> House fire in Camberwell</w:t>
      </w:r>
      <w:r>
        <w:rPr>
          <w:rFonts w:cs="Arial"/>
        </w:rPr>
        <w:t>,</w:t>
      </w:r>
      <w:r w:rsidRPr="00AD65EC">
        <w:rPr>
          <w:rFonts w:cs="Arial"/>
        </w:rPr>
        <w:t xml:space="preserve"> and the recommendations of Oxfordshire Fire and Rescue Service (OFRS).</w:t>
      </w:r>
    </w:p>
    <w:p w:rsidR="00310EE7" w:rsidRDefault="00310EE7" w:rsidP="00310EE7">
      <w:pPr>
        <w:rPr>
          <w:rFonts w:cs="Arial"/>
        </w:rPr>
      </w:pPr>
    </w:p>
    <w:p w:rsidR="00310EE7" w:rsidRPr="00776D3F" w:rsidRDefault="00310EE7" w:rsidP="00310EE7">
      <w:pPr>
        <w:pStyle w:val="ListParagraph"/>
        <w:numPr>
          <w:ilvl w:val="0"/>
          <w:numId w:val="0"/>
        </w:numPr>
        <w:ind w:left="426" w:hanging="426"/>
        <w:rPr>
          <w:rFonts w:cs="Arial"/>
          <w:b/>
        </w:rPr>
      </w:pPr>
      <w:r w:rsidRPr="00776D3F">
        <w:rPr>
          <w:rFonts w:cs="Arial"/>
          <w:b/>
        </w:rPr>
        <w:t>Fire Safety Measures</w:t>
      </w:r>
    </w:p>
    <w:p w:rsidR="00310EE7" w:rsidRPr="00776D3F" w:rsidRDefault="00310EE7" w:rsidP="00310EE7">
      <w:pPr>
        <w:pStyle w:val="ListParagraph"/>
        <w:rPr>
          <w:rFonts w:cs="Arial"/>
        </w:rPr>
      </w:pPr>
      <w:r>
        <w:rPr>
          <w:rFonts w:cs="Arial"/>
        </w:rPr>
        <w:t>B</w:t>
      </w:r>
      <w:r w:rsidRPr="00776D3F">
        <w:rPr>
          <w:rFonts w:cs="Arial"/>
        </w:rPr>
        <w:t>efore Grenfell, in the event of a fire in a block flats, the accepted national practice, based on advice from Fire and Rescue services, was for residents to remain in their flat, unless the fire was in the flat (the ‘stay put’ policy).</w:t>
      </w:r>
    </w:p>
    <w:p w:rsidR="00110EA0" w:rsidRPr="00AD65EC" w:rsidRDefault="00AD65EC" w:rsidP="005C4DE0">
      <w:pPr>
        <w:pStyle w:val="ListParagraph"/>
        <w:rPr>
          <w:rFonts w:cs="Arial"/>
        </w:rPr>
      </w:pPr>
      <w:r w:rsidRPr="00AD65EC">
        <w:rPr>
          <w:rFonts w:cs="Arial"/>
        </w:rPr>
        <w:t>A</w:t>
      </w:r>
      <w:r w:rsidR="00310EE7" w:rsidRPr="00AD65EC">
        <w:rPr>
          <w:rFonts w:cs="Arial"/>
        </w:rPr>
        <w:t>dvice was taken from OFRS both pre and post Grenfell.  Since Grenfell, OFRS has conducted fire safety audits for each block.  Adequate fire safety was demonstrated for each.  Throughout, OFRS’s view has been that there should be a holistic approach to fire safety</w:t>
      </w:r>
      <w:r w:rsidR="00524CFC">
        <w:rPr>
          <w:rFonts w:cs="Arial"/>
        </w:rPr>
        <w:t xml:space="preserve"> </w:t>
      </w:r>
      <w:r w:rsidR="006D7B71">
        <w:rPr>
          <w:rFonts w:cs="Arial"/>
        </w:rPr>
        <w:t>and</w:t>
      </w:r>
      <w:r w:rsidR="00310EE7" w:rsidRPr="00AD65EC">
        <w:rPr>
          <w:rFonts w:cs="Arial"/>
        </w:rPr>
        <w:t xml:space="preserve"> the safety of residents.  </w:t>
      </w:r>
      <w:r w:rsidR="00310EE7" w:rsidRPr="00AD65EC">
        <w:rPr>
          <w:rFonts w:cs="Arial"/>
          <w:lang w:val="en"/>
        </w:rPr>
        <w:t>OFRS have confirmed that the safety measures the Council has in place</w:t>
      </w:r>
      <w:r w:rsidR="001435FD">
        <w:rPr>
          <w:rFonts w:cs="Arial"/>
          <w:lang w:val="en"/>
        </w:rPr>
        <w:t xml:space="preserve"> and available for inspection </w:t>
      </w:r>
      <w:r w:rsidR="00310EE7" w:rsidRPr="00AD65EC">
        <w:rPr>
          <w:rFonts w:cs="Arial"/>
          <w:lang w:val="en"/>
        </w:rPr>
        <w:t xml:space="preserve"> – including sprinklers, fire doors, heat and smoke detectors, venting and fire breaks in the cladding system – </w:t>
      </w:r>
      <w:r w:rsidR="002852D5">
        <w:rPr>
          <w:rFonts w:cs="Arial"/>
          <w:lang w:val="en"/>
        </w:rPr>
        <w:t>meet these requirements</w:t>
      </w:r>
      <w:r w:rsidR="00310EE7" w:rsidRPr="00AD65EC">
        <w:rPr>
          <w:rFonts w:cs="Arial"/>
          <w:lang w:val="en"/>
        </w:rPr>
        <w:t>.  At the Council’s request, OFRS has communicated this reassurance to residen</w:t>
      </w:r>
      <w:r w:rsidR="0052413A">
        <w:rPr>
          <w:rFonts w:cs="Arial"/>
          <w:lang w:val="en"/>
        </w:rPr>
        <w:t>ts</w:t>
      </w:r>
      <w:r w:rsidR="00310EE7" w:rsidRPr="00AD65EC">
        <w:rPr>
          <w:rFonts w:cs="Arial"/>
          <w:lang w:val="en"/>
        </w:rPr>
        <w:t xml:space="preserve"> and to the media.</w:t>
      </w:r>
    </w:p>
    <w:p w:rsidR="00F115F9" w:rsidRDefault="00F115F9" w:rsidP="00673AA7">
      <w:pPr>
        <w:pStyle w:val="ListParagraph"/>
        <w:numPr>
          <w:ilvl w:val="0"/>
          <w:numId w:val="0"/>
        </w:numPr>
        <w:ind w:left="426" w:hanging="426"/>
        <w:rPr>
          <w:rFonts w:cs="Arial"/>
          <w:b/>
        </w:rPr>
      </w:pPr>
    </w:p>
    <w:p w:rsidR="00DC6785" w:rsidRDefault="00DC6785" w:rsidP="00673AA7">
      <w:pPr>
        <w:pStyle w:val="ListParagraph"/>
        <w:numPr>
          <w:ilvl w:val="0"/>
          <w:numId w:val="0"/>
        </w:numPr>
        <w:ind w:left="426" w:hanging="426"/>
        <w:rPr>
          <w:rFonts w:cs="Arial"/>
          <w:b/>
        </w:rPr>
      </w:pPr>
    </w:p>
    <w:p w:rsidR="00673AA7" w:rsidRPr="00776D3F" w:rsidRDefault="00673AA7" w:rsidP="00673AA7">
      <w:pPr>
        <w:pStyle w:val="ListParagraph"/>
        <w:numPr>
          <w:ilvl w:val="0"/>
          <w:numId w:val="0"/>
        </w:numPr>
        <w:ind w:left="426" w:hanging="426"/>
        <w:rPr>
          <w:rFonts w:cs="Arial"/>
        </w:rPr>
      </w:pPr>
      <w:r w:rsidRPr="00776D3F">
        <w:rPr>
          <w:rFonts w:cs="Arial"/>
          <w:b/>
        </w:rPr>
        <w:t>How the specification of the cladding to the tower blocks was derived</w:t>
      </w:r>
    </w:p>
    <w:p w:rsidR="00673AA7" w:rsidRPr="00776D3F" w:rsidRDefault="006C17F2" w:rsidP="006C17F2">
      <w:pPr>
        <w:pStyle w:val="ListParagraph"/>
        <w:rPr>
          <w:rFonts w:cs="Arial"/>
          <w:i/>
        </w:rPr>
      </w:pPr>
      <w:r w:rsidRPr="00776D3F">
        <w:rPr>
          <w:rFonts w:cs="Arial"/>
        </w:rPr>
        <w:lastRenderedPageBreak/>
        <w:t>The scope of the works was drafted by the Project Sponsor – the Council’s Head of Housing.  The Project Initiation Document list</w:t>
      </w:r>
      <w:r w:rsidR="00F115F9">
        <w:rPr>
          <w:rFonts w:cs="Arial"/>
        </w:rPr>
        <w:t>ed</w:t>
      </w:r>
      <w:r w:rsidRPr="00776D3F">
        <w:rPr>
          <w:rFonts w:cs="Arial"/>
        </w:rPr>
        <w:t xml:space="preserve"> the following within the project </w:t>
      </w:r>
      <w:r w:rsidR="00673AA7" w:rsidRPr="00776D3F">
        <w:rPr>
          <w:rFonts w:cs="Arial"/>
        </w:rPr>
        <w:t>scope:</w:t>
      </w:r>
    </w:p>
    <w:p w:rsidR="00673AA7" w:rsidRPr="00776D3F" w:rsidRDefault="00673AA7" w:rsidP="00673AA7">
      <w:pPr>
        <w:pStyle w:val="ListParagraph"/>
        <w:numPr>
          <w:ilvl w:val="0"/>
          <w:numId w:val="37"/>
        </w:numPr>
        <w:rPr>
          <w:rFonts w:cs="Arial"/>
          <w:i/>
        </w:rPr>
      </w:pPr>
      <w:r w:rsidRPr="00776D3F">
        <w:rPr>
          <w:rFonts w:cs="Arial"/>
          <w:i/>
        </w:rPr>
        <w:t>Waterproof rain screening/insulating façade programme</w:t>
      </w:r>
    </w:p>
    <w:p w:rsidR="00673AA7" w:rsidRPr="00776D3F" w:rsidRDefault="00673AA7" w:rsidP="00673AA7">
      <w:pPr>
        <w:pStyle w:val="ListParagraph"/>
        <w:numPr>
          <w:ilvl w:val="0"/>
          <w:numId w:val="37"/>
        </w:numPr>
        <w:rPr>
          <w:rFonts w:cs="Arial"/>
          <w:i/>
        </w:rPr>
      </w:pPr>
      <w:r w:rsidRPr="00776D3F">
        <w:rPr>
          <w:rFonts w:cs="Arial"/>
          <w:i/>
        </w:rPr>
        <w:t>Energy efficiency improvement programme</w:t>
      </w:r>
    </w:p>
    <w:p w:rsidR="00673AA7" w:rsidRPr="00776D3F" w:rsidRDefault="00673AA7" w:rsidP="00673AA7">
      <w:pPr>
        <w:pStyle w:val="ListParagraph"/>
        <w:numPr>
          <w:ilvl w:val="0"/>
          <w:numId w:val="37"/>
        </w:numPr>
        <w:rPr>
          <w:rFonts w:cs="Arial"/>
          <w:i/>
        </w:rPr>
      </w:pPr>
      <w:r w:rsidRPr="00776D3F">
        <w:rPr>
          <w:rFonts w:cs="Arial"/>
          <w:i/>
        </w:rPr>
        <w:t xml:space="preserve">Upgraded fire standards  </w:t>
      </w:r>
    </w:p>
    <w:p w:rsidR="006C17F2" w:rsidRPr="00776D3F" w:rsidRDefault="006C17F2" w:rsidP="006C17F2">
      <w:pPr>
        <w:pStyle w:val="ListParagraph"/>
        <w:rPr>
          <w:rFonts w:cs="Arial"/>
        </w:rPr>
      </w:pPr>
      <w:r w:rsidRPr="00776D3F">
        <w:rPr>
          <w:rFonts w:cs="Arial"/>
        </w:rPr>
        <w:t xml:space="preserve">A Project Board was formed in summer 2013 and agreed the scope of works.  Its membership included stakeholders from across the Council, as well as </w:t>
      </w:r>
      <w:r w:rsidR="00673AA7" w:rsidRPr="00776D3F">
        <w:rPr>
          <w:rFonts w:cs="Arial"/>
        </w:rPr>
        <w:t>an</w:t>
      </w:r>
      <w:r w:rsidRPr="00776D3F">
        <w:rPr>
          <w:rFonts w:cs="Arial"/>
        </w:rPr>
        <w:t xml:space="preserve"> external Project Manager.  A multidisciplinary Project Team sat underneath the Board and made recommendations to it.  This governance structure was proposed by the Project Manager</w:t>
      </w:r>
      <w:r w:rsidR="002852D5">
        <w:rPr>
          <w:rFonts w:cs="Arial"/>
        </w:rPr>
        <w:t xml:space="preserve"> and was adopted </w:t>
      </w:r>
      <w:r w:rsidR="00206045">
        <w:rPr>
          <w:rFonts w:cs="Arial"/>
        </w:rPr>
        <w:t xml:space="preserve">by the Council as the appropriate methodology for </w:t>
      </w:r>
      <w:r w:rsidR="006D7B71">
        <w:rPr>
          <w:rFonts w:cs="Arial"/>
        </w:rPr>
        <w:t xml:space="preserve">this </w:t>
      </w:r>
      <w:r w:rsidR="00206045">
        <w:rPr>
          <w:rFonts w:cs="Arial"/>
        </w:rPr>
        <w:t>type of project</w:t>
      </w:r>
      <w:r w:rsidRPr="00776D3F">
        <w:rPr>
          <w:rFonts w:cs="Arial"/>
        </w:rPr>
        <w:t xml:space="preserve">.  </w:t>
      </w:r>
      <w:r w:rsidR="0051555A">
        <w:rPr>
          <w:rFonts w:cs="Arial"/>
        </w:rPr>
        <w:t>Appropriate external professional project management and design services</w:t>
      </w:r>
      <w:r w:rsidR="00E12E71">
        <w:rPr>
          <w:rFonts w:cs="Arial"/>
        </w:rPr>
        <w:t xml:space="preserve"> were procured, namely </w:t>
      </w:r>
      <w:proofErr w:type="spellStart"/>
      <w:r w:rsidR="00E12E71">
        <w:rPr>
          <w:rFonts w:cs="Arial"/>
        </w:rPr>
        <w:t>Arcadis</w:t>
      </w:r>
      <w:proofErr w:type="spellEnd"/>
      <w:r w:rsidR="00E12E71">
        <w:rPr>
          <w:rFonts w:cs="Arial"/>
        </w:rPr>
        <w:t xml:space="preserve">, project management, BM3 Architecture Ltd, architects, and The </w:t>
      </w:r>
      <w:proofErr w:type="spellStart"/>
      <w:r w:rsidR="00E12E71">
        <w:rPr>
          <w:rFonts w:cs="Arial"/>
        </w:rPr>
        <w:t>Rolton</w:t>
      </w:r>
      <w:proofErr w:type="spellEnd"/>
      <w:r w:rsidR="00E12E71">
        <w:rPr>
          <w:rFonts w:cs="Arial"/>
        </w:rPr>
        <w:t xml:space="preserve"> Group, structural engineers. </w:t>
      </w:r>
    </w:p>
    <w:p w:rsidR="00CF6DDB" w:rsidRPr="00776D3F" w:rsidRDefault="00CF6DDB" w:rsidP="00CF6DDB">
      <w:pPr>
        <w:pStyle w:val="ListParagraph"/>
        <w:rPr>
          <w:rFonts w:cs="Arial"/>
        </w:rPr>
      </w:pPr>
      <w:r w:rsidRPr="00776D3F">
        <w:rPr>
          <w:rFonts w:cs="Arial"/>
        </w:rPr>
        <w:t xml:space="preserve">The Design Team (BM3 and The </w:t>
      </w:r>
      <w:proofErr w:type="spellStart"/>
      <w:r w:rsidRPr="00776D3F">
        <w:rPr>
          <w:rFonts w:cs="Arial"/>
        </w:rPr>
        <w:t>Rolton</w:t>
      </w:r>
      <w:proofErr w:type="spellEnd"/>
      <w:r w:rsidRPr="00776D3F">
        <w:rPr>
          <w:rFonts w:cs="Arial"/>
        </w:rPr>
        <w:t xml:space="preserve"> Group) produced concept designs for the five blocks, which were approved by the Project Board in February 2014.  The Project Board also agreed to include a number of additional measures within </w:t>
      </w:r>
      <w:r w:rsidR="00206045">
        <w:rPr>
          <w:rFonts w:cs="Arial"/>
        </w:rPr>
        <w:t>the specification</w:t>
      </w:r>
      <w:r w:rsidRPr="00776D3F">
        <w:rPr>
          <w:rFonts w:cs="Arial"/>
        </w:rPr>
        <w:t xml:space="preserve">, which included the retrofitting of sprinklers and other fire safety measures (see 6 above).  In March 2014, </w:t>
      </w:r>
      <w:r w:rsidR="00452887">
        <w:rPr>
          <w:rFonts w:cs="Arial"/>
        </w:rPr>
        <w:t>the Project Manager</w:t>
      </w:r>
      <w:r w:rsidR="00124798">
        <w:rPr>
          <w:rFonts w:cs="Arial"/>
        </w:rPr>
        <w:t xml:space="preserve"> </w:t>
      </w:r>
      <w:r w:rsidRPr="00776D3F">
        <w:rPr>
          <w:rFonts w:cs="Arial"/>
        </w:rPr>
        <w:t>reported to the Project Team that OFRS were very pleased with the proposed designs</w:t>
      </w:r>
      <w:r w:rsidR="00452887">
        <w:rPr>
          <w:rFonts w:cs="Arial"/>
        </w:rPr>
        <w:t>, which took into account the additional fire safety measures</w:t>
      </w:r>
      <w:r w:rsidRPr="00776D3F">
        <w:rPr>
          <w:rFonts w:cs="Arial"/>
        </w:rPr>
        <w:t>.</w:t>
      </w:r>
    </w:p>
    <w:p w:rsidR="00D620DE" w:rsidRPr="00776D3F" w:rsidRDefault="00D620DE" w:rsidP="00D620DE">
      <w:pPr>
        <w:pStyle w:val="ListParagraph"/>
        <w:rPr>
          <w:rFonts w:cs="Arial"/>
        </w:rPr>
      </w:pPr>
      <w:r w:rsidRPr="00776D3F">
        <w:rPr>
          <w:rFonts w:cs="Arial"/>
        </w:rPr>
        <w:t xml:space="preserve">The approach taken to the refurbishment of the five tower blocks was to deal with them in a 2:2:1 sequence, both in terms of design and the timing of works.  </w:t>
      </w:r>
      <w:proofErr w:type="spellStart"/>
      <w:r w:rsidRPr="00776D3F">
        <w:rPr>
          <w:rFonts w:cs="Arial"/>
        </w:rPr>
        <w:t>Evenlode</w:t>
      </w:r>
      <w:proofErr w:type="spellEnd"/>
      <w:r w:rsidRPr="00776D3F">
        <w:rPr>
          <w:rFonts w:cs="Arial"/>
        </w:rPr>
        <w:t xml:space="preserve"> and </w:t>
      </w:r>
      <w:proofErr w:type="spellStart"/>
      <w:r w:rsidRPr="00776D3F">
        <w:rPr>
          <w:rFonts w:cs="Arial"/>
        </w:rPr>
        <w:t>Windrush</w:t>
      </w:r>
      <w:proofErr w:type="spellEnd"/>
      <w:r w:rsidRPr="00776D3F">
        <w:rPr>
          <w:rFonts w:cs="Arial"/>
        </w:rPr>
        <w:t xml:space="preserve"> towers in Blackbird Leys were taken together because of their close proximity and similarities; </w:t>
      </w:r>
      <w:proofErr w:type="spellStart"/>
      <w:r w:rsidRPr="00776D3F">
        <w:rPr>
          <w:rFonts w:cs="Arial"/>
        </w:rPr>
        <w:t>Plowman</w:t>
      </w:r>
      <w:proofErr w:type="spellEnd"/>
      <w:r w:rsidRPr="00776D3F">
        <w:rPr>
          <w:rFonts w:cs="Arial"/>
        </w:rPr>
        <w:t xml:space="preserve"> and Foresters towers were also treated together as they are very similar buildings, while </w:t>
      </w:r>
      <w:proofErr w:type="spellStart"/>
      <w:r w:rsidRPr="00776D3F">
        <w:rPr>
          <w:rFonts w:cs="Arial"/>
        </w:rPr>
        <w:t>Hockmore</w:t>
      </w:r>
      <w:proofErr w:type="spellEnd"/>
      <w:r w:rsidRPr="00776D3F">
        <w:rPr>
          <w:rFonts w:cs="Arial"/>
        </w:rPr>
        <w:t xml:space="preserve"> Tower, which is a very different tower block, was handled separately.</w:t>
      </w:r>
    </w:p>
    <w:p w:rsidR="00D620DE" w:rsidRPr="00776D3F" w:rsidRDefault="00D620DE" w:rsidP="00D620DE">
      <w:pPr>
        <w:pStyle w:val="ListParagraph"/>
        <w:rPr>
          <w:rFonts w:cs="Arial"/>
        </w:rPr>
      </w:pPr>
      <w:r w:rsidRPr="00776D3F">
        <w:rPr>
          <w:rFonts w:cs="Arial"/>
        </w:rPr>
        <w:t xml:space="preserve">The concept designs produced by the Design Team indicated the selection of materials and colours to be used on the exteriors of the buildings and members of the </w:t>
      </w:r>
      <w:r w:rsidR="008551B7">
        <w:rPr>
          <w:rFonts w:cs="Arial"/>
        </w:rPr>
        <w:t>Project T</w:t>
      </w:r>
      <w:r w:rsidRPr="00776D3F">
        <w:rPr>
          <w:rFonts w:cs="Arial"/>
        </w:rPr>
        <w:t xml:space="preserve">eam had experience of installing rain screen cladding from other projects.  The initial choice for the rain screen for the two Blackbird Leys towers was a two-tone chameleon style board, and </w:t>
      </w:r>
      <w:r w:rsidR="008551B7">
        <w:rPr>
          <w:rFonts w:cs="Arial"/>
        </w:rPr>
        <w:t xml:space="preserve">the Project Team </w:t>
      </w:r>
      <w:r w:rsidRPr="00776D3F">
        <w:rPr>
          <w:rFonts w:cs="Arial"/>
        </w:rPr>
        <w:t xml:space="preserve">consulted on this material. </w:t>
      </w:r>
    </w:p>
    <w:p w:rsidR="006C17F2" w:rsidRPr="00776D3F" w:rsidRDefault="00D620DE" w:rsidP="005C4DE0">
      <w:pPr>
        <w:pStyle w:val="ListParagraph"/>
        <w:rPr>
          <w:rFonts w:cs="Arial"/>
        </w:rPr>
      </w:pPr>
      <w:r w:rsidRPr="00776D3F">
        <w:rPr>
          <w:rFonts w:cs="Arial"/>
        </w:rPr>
        <w:t xml:space="preserve">Following input from the Council’s Regeneration Team about the visual appearance of the proposed designs in the context of the wider regeneration of Blackbird Leys, the Design Team were asked to select an alternative rain screen cladding material.  Their choice was </w:t>
      </w:r>
      <w:proofErr w:type="spellStart"/>
      <w:r w:rsidRPr="00776D3F">
        <w:rPr>
          <w:rFonts w:cs="Arial"/>
        </w:rPr>
        <w:t>Vitrabond</w:t>
      </w:r>
      <w:proofErr w:type="spellEnd"/>
      <w:r w:rsidRPr="00776D3F">
        <w:rPr>
          <w:rFonts w:cs="Arial"/>
        </w:rPr>
        <w:t xml:space="preserve"> aluminium composite rain screen cladding panels, which are broadly equivalent to chameleon board in terms of behaviour in relation to fire (depending on the type of chameleon board used and its method of installation).  Further consultation was held on the new designs prior to approval by the Project Board and a full planning application</w:t>
      </w:r>
      <w:r w:rsidR="008551B7">
        <w:rPr>
          <w:rFonts w:cs="Arial"/>
        </w:rPr>
        <w:t xml:space="preserve"> being made</w:t>
      </w:r>
      <w:r w:rsidR="000869A9" w:rsidRPr="00776D3F">
        <w:rPr>
          <w:rFonts w:cs="Arial"/>
        </w:rPr>
        <w:t>.</w:t>
      </w:r>
    </w:p>
    <w:p w:rsidR="000869A9" w:rsidRPr="00776D3F" w:rsidRDefault="000869A9" w:rsidP="000869A9">
      <w:pPr>
        <w:pStyle w:val="ListParagraph"/>
        <w:rPr>
          <w:rFonts w:cs="Arial"/>
        </w:rPr>
      </w:pPr>
      <w:r w:rsidRPr="00776D3F">
        <w:rPr>
          <w:rFonts w:cs="Arial"/>
        </w:rPr>
        <w:t>The Project Manager developed the specification, known as the ‘employer’s requirements’.  Members of the Project Board, Design Team and OFRS had opportunities to comment on this at the pre-contract stage.  No concerns were raised about the fire safety strategies or the choice of cladding materials.</w:t>
      </w:r>
    </w:p>
    <w:p w:rsidR="00605433" w:rsidRPr="00776D3F" w:rsidRDefault="00605433" w:rsidP="00605433">
      <w:pPr>
        <w:pStyle w:val="ListParagraph"/>
        <w:rPr>
          <w:rFonts w:cs="Arial"/>
        </w:rPr>
      </w:pPr>
      <w:r w:rsidRPr="00776D3F">
        <w:rPr>
          <w:rFonts w:cs="Arial"/>
        </w:rPr>
        <w:lastRenderedPageBreak/>
        <w:t xml:space="preserve">The architect’s drawings for </w:t>
      </w:r>
      <w:proofErr w:type="spellStart"/>
      <w:r w:rsidRPr="00776D3F">
        <w:rPr>
          <w:rFonts w:cs="Arial"/>
        </w:rPr>
        <w:t>Windrush</w:t>
      </w:r>
      <w:proofErr w:type="spellEnd"/>
      <w:r w:rsidRPr="00776D3F">
        <w:rPr>
          <w:rFonts w:cs="Arial"/>
        </w:rPr>
        <w:t xml:space="preserve"> and </w:t>
      </w:r>
      <w:proofErr w:type="spellStart"/>
      <w:r w:rsidRPr="00776D3F">
        <w:rPr>
          <w:rFonts w:cs="Arial"/>
        </w:rPr>
        <w:t>Evenlode</w:t>
      </w:r>
      <w:proofErr w:type="spellEnd"/>
      <w:r w:rsidRPr="00776D3F">
        <w:rPr>
          <w:rFonts w:cs="Arial"/>
        </w:rPr>
        <w:t xml:space="preserve"> towers, which formed part of the tender documentation, refer to ‘aluminium cladding 300mm module </w:t>
      </w:r>
      <w:proofErr w:type="spellStart"/>
      <w:r w:rsidRPr="00776D3F">
        <w:rPr>
          <w:rFonts w:cs="Arial"/>
        </w:rPr>
        <w:t>Vitrabond</w:t>
      </w:r>
      <w:proofErr w:type="spellEnd"/>
      <w:r w:rsidRPr="00776D3F">
        <w:rPr>
          <w:rFonts w:cs="Arial"/>
        </w:rPr>
        <w:t xml:space="preserve"> or equal approved’.  For </w:t>
      </w:r>
      <w:proofErr w:type="spellStart"/>
      <w:r w:rsidRPr="00776D3F">
        <w:rPr>
          <w:rFonts w:cs="Arial"/>
        </w:rPr>
        <w:t>Plowman</w:t>
      </w:r>
      <w:proofErr w:type="spellEnd"/>
      <w:r w:rsidRPr="00776D3F">
        <w:rPr>
          <w:rFonts w:cs="Arial"/>
        </w:rPr>
        <w:t xml:space="preserve"> and Foresters towers the drawings refer to ‘aluminium cladding panels’.  For </w:t>
      </w:r>
      <w:proofErr w:type="spellStart"/>
      <w:r w:rsidRPr="00776D3F">
        <w:rPr>
          <w:rFonts w:cs="Arial"/>
        </w:rPr>
        <w:t>Hockmore</w:t>
      </w:r>
      <w:proofErr w:type="spellEnd"/>
      <w:r w:rsidRPr="00776D3F">
        <w:rPr>
          <w:rFonts w:cs="Arial"/>
        </w:rPr>
        <w:t>, they refer to ‘</w:t>
      </w:r>
      <w:proofErr w:type="spellStart"/>
      <w:r w:rsidRPr="00776D3F">
        <w:rPr>
          <w:rFonts w:cs="Arial"/>
        </w:rPr>
        <w:t>Trespa</w:t>
      </w:r>
      <w:proofErr w:type="spellEnd"/>
      <w:r w:rsidRPr="00776D3F">
        <w:rPr>
          <w:rFonts w:cs="Arial"/>
        </w:rPr>
        <w:t xml:space="preserve"> cladding panels’, and ‘aluminium rain screen cladding’. </w:t>
      </w:r>
    </w:p>
    <w:p w:rsidR="00605433" w:rsidRDefault="00605433" w:rsidP="00605433">
      <w:pPr>
        <w:pStyle w:val="ListParagraph"/>
        <w:rPr>
          <w:rFonts w:cs="Arial"/>
        </w:rPr>
      </w:pPr>
      <w:r w:rsidRPr="00776D3F">
        <w:rPr>
          <w:rFonts w:cs="Arial"/>
        </w:rPr>
        <w:t xml:space="preserve">Key stakeholders had ample opportunity to influence the specification and it is important to note that any design risk </w:t>
      </w:r>
      <w:r w:rsidR="00206045">
        <w:rPr>
          <w:rFonts w:cs="Arial"/>
        </w:rPr>
        <w:t xml:space="preserve">lay with the contractor and </w:t>
      </w:r>
      <w:r w:rsidRPr="00776D3F">
        <w:rPr>
          <w:rFonts w:cs="Arial"/>
        </w:rPr>
        <w:t>did not sit with the Council.</w:t>
      </w:r>
    </w:p>
    <w:p w:rsidR="00DC6785" w:rsidRPr="00DC6785" w:rsidRDefault="00DC6785" w:rsidP="00DC6785">
      <w:pPr>
        <w:rPr>
          <w:rFonts w:cs="Arial"/>
        </w:rPr>
      </w:pPr>
    </w:p>
    <w:p w:rsidR="00605433" w:rsidRPr="00776D3F" w:rsidRDefault="00605433" w:rsidP="00DC6785">
      <w:pPr>
        <w:pStyle w:val="Heading1"/>
        <w:spacing w:before="120"/>
        <w:rPr>
          <w:rFonts w:cs="Arial"/>
        </w:rPr>
      </w:pPr>
      <w:r w:rsidRPr="00776D3F">
        <w:rPr>
          <w:rFonts w:cs="Arial"/>
        </w:rPr>
        <w:t xml:space="preserve">After the contract was awarded, </w:t>
      </w:r>
      <w:r w:rsidR="00FE3BF2" w:rsidRPr="00776D3F">
        <w:rPr>
          <w:rFonts w:cs="Arial"/>
        </w:rPr>
        <w:t>the level of scrutiny given to the design specification</w:t>
      </w:r>
    </w:p>
    <w:p w:rsidR="00646E60" w:rsidRPr="00776D3F" w:rsidRDefault="00646E60" w:rsidP="00646E60">
      <w:pPr>
        <w:pStyle w:val="ListParagraph"/>
        <w:rPr>
          <w:rFonts w:cs="Arial"/>
        </w:rPr>
      </w:pPr>
      <w:r w:rsidRPr="00776D3F">
        <w:rPr>
          <w:rFonts w:cs="Arial"/>
        </w:rPr>
        <w:t xml:space="preserve">The designs for all five blocks were approved by the East Area Planning Committee on 5 November 2014 with a condition that materials would be as specified.  OFRS as a statutory consultee did not raise any concerns about the proposals.  </w:t>
      </w:r>
    </w:p>
    <w:p w:rsidR="00646E60" w:rsidRPr="00776D3F" w:rsidRDefault="00646E60" w:rsidP="00646E60">
      <w:pPr>
        <w:pStyle w:val="ListParagraph"/>
        <w:rPr>
          <w:rFonts w:cs="Arial"/>
        </w:rPr>
      </w:pPr>
      <w:r w:rsidRPr="00776D3F">
        <w:rPr>
          <w:rFonts w:cs="Arial"/>
        </w:rPr>
        <w:t>In addition, the works were the subject of five ‘full plans’ Building Control applications, rather than Building Notices.  OFRS were consulted as part of this process.</w:t>
      </w:r>
    </w:p>
    <w:p w:rsidR="00646E60" w:rsidRPr="00776D3F" w:rsidRDefault="00646E60" w:rsidP="00646E60">
      <w:pPr>
        <w:pStyle w:val="ListParagraph"/>
        <w:rPr>
          <w:rFonts w:cs="Arial"/>
        </w:rPr>
      </w:pPr>
      <w:r w:rsidRPr="00776D3F">
        <w:rPr>
          <w:rFonts w:cs="Arial"/>
        </w:rPr>
        <w:t>The Project Board did not meet from October 2014 to May 2017 and the general view is that there was little need for it to do so once the contractor had been appointed.  As the Council had entered into a fixed-price ‘design and build’ contract</w:t>
      </w:r>
      <w:r w:rsidR="006D7B71">
        <w:rPr>
          <w:rFonts w:cs="Arial"/>
        </w:rPr>
        <w:t xml:space="preserve"> </w:t>
      </w:r>
      <w:r w:rsidRPr="00776D3F">
        <w:rPr>
          <w:rFonts w:cs="Arial"/>
        </w:rPr>
        <w:t xml:space="preserve">it was in the Council’s interests to minimise variations, which would add cost.  </w:t>
      </w:r>
    </w:p>
    <w:p w:rsidR="000869A9" w:rsidRPr="00776D3F" w:rsidRDefault="00646E60" w:rsidP="005C4DE0">
      <w:pPr>
        <w:pStyle w:val="ListParagraph"/>
        <w:rPr>
          <w:rFonts w:cs="Arial"/>
        </w:rPr>
      </w:pPr>
      <w:r w:rsidRPr="00776D3F">
        <w:rPr>
          <w:rFonts w:cs="Arial"/>
        </w:rPr>
        <w:t xml:space="preserve">Variations to the planning approvals were dealt with </w:t>
      </w:r>
      <w:r w:rsidR="00206045">
        <w:rPr>
          <w:rFonts w:cs="Arial"/>
        </w:rPr>
        <w:t xml:space="preserve">by Planning Officers </w:t>
      </w:r>
      <w:r w:rsidRPr="00776D3F">
        <w:rPr>
          <w:rFonts w:cs="Arial"/>
        </w:rPr>
        <w:t>as non-material amendments</w:t>
      </w:r>
      <w:r w:rsidR="00206045">
        <w:rPr>
          <w:rFonts w:cs="Arial"/>
        </w:rPr>
        <w:t xml:space="preserve"> to the conditions set out in the decision notices for the works</w:t>
      </w:r>
      <w:r w:rsidRPr="00776D3F">
        <w:rPr>
          <w:rFonts w:cs="Arial"/>
        </w:rPr>
        <w:t xml:space="preserve">.  A non-material change to the location of windows and cladding at </w:t>
      </w:r>
      <w:proofErr w:type="spellStart"/>
      <w:r w:rsidRPr="00776D3F">
        <w:rPr>
          <w:rFonts w:cs="Arial"/>
        </w:rPr>
        <w:t>Hockmore</w:t>
      </w:r>
      <w:proofErr w:type="spellEnd"/>
      <w:r w:rsidRPr="00776D3F">
        <w:rPr>
          <w:rFonts w:cs="Arial"/>
        </w:rPr>
        <w:t xml:space="preserve"> Tower was agreed.  Planning Officers advised that a change </w:t>
      </w:r>
      <w:r w:rsidR="00D05F28">
        <w:rPr>
          <w:rFonts w:cs="Arial"/>
        </w:rPr>
        <w:t xml:space="preserve">requested by the contractor </w:t>
      </w:r>
      <w:r w:rsidRPr="00776D3F">
        <w:rPr>
          <w:rFonts w:cs="Arial"/>
        </w:rPr>
        <w:t>to the</w:t>
      </w:r>
      <w:r w:rsidR="00D05F28">
        <w:rPr>
          <w:rFonts w:cs="Arial"/>
        </w:rPr>
        <w:t xml:space="preserve"> approved</w:t>
      </w:r>
      <w:r w:rsidRPr="00776D3F">
        <w:rPr>
          <w:rFonts w:cs="Arial"/>
        </w:rPr>
        <w:t xml:space="preserve"> type of cladding </w:t>
      </w:r>
      <w:r w:rsidR="00206045">
        <w:rPr>
          <w:rFonts w:cs="Arial"/>
        </w:rPr>
        <w:t xml:space="preserve">at </w:t>
      </w:r>
      <w:proofErr w:type="spellStart"/>
      <w:r w:rsidR="00206045">
        <w:rPr>
          <w:rFonts w:cs="Arial"/>
        </w:rPr>
        <w:t>Hockmore</w:t>
      </w:r>
      <w:proofErr w:type="spellEnd"/>
      <w:r w:rsidR="00206045">
        <w:rPr>
          <w:rFonts w:cs="Arial"/>
        </w:rPr>
        <w:t xml:space="preserve"> Tower </w:t>
      </w:r>
      <w:r w:rsidRPr="00776D3F">
        <w:rPr>
          <w:rFonts w:cs="Arial"/>
        </w:rPr>
        <w:t xml:space="preserve">was a material amendment and a variation of condition application would be required.  They further commented that the proposed materials were not acceptable on the basis that their quality was significantly poorer and the finish too high gloss.  As a result, a variation of condition application was not submitted and the </w:t>
      </w:r>
      <w:proofErr w:type="spellStart"/>
      <w:r w:rsidRPr="00776D3F">
        <w:rPr>
          <w:rFonts w:cs="Arial"/>
        </w:rPr>
        <w:t>Trespa</w:t>
      </w:r>
      <w:proofErr w:type="spellEnd"/>
      <w:r w:rsidRPr="00776D3F">
        <w:rPr>
          <w:rFonts w:cs="Arial"/>
        </w:rPr>
        <w:t xml:space="preserve"> cladding was retained.</w:t>
      </w:r>
    </w:p>
    <w:p w:rsidR="00646E60" w:rsidRPr="00776D3F" w:rsidRDefault="00646E60" w:rsidP="00646E60">
      <w:pPr>
        <w:pStyle w:val="ListParagraph"/>
        <w:numPr>
          <w:ilvl w:val="0"/>
          <w:numId w:val="0"/>
        </w:numPr>
        <w:ind w:left="426" w:hanging="426"/>
        <w:rPr>
          <w:rFonts w:cs="Arial"/>
        </w:rPr>
      </w:pPr>
    </w:p>
    <w:p w:rsidR="00646E60" w:rsidRPr="00776D3F" w:rsidRDefault="00646E60" w:rsidP="00646E60">
      <w:pPr>
        <w:pStyle w:val="ListParagraph"/>
        <w:numPr>
          <w:ilvl w:val="0"/>
          <w:numId w:val="0"/>
        </w:numPr>
        <w:ind w:left="426" w:hanging="426"/>
        <w:rPr>
          <w:rFonts w:cs="Arial"/>
          <w:b/>
        </w:rPr>
      </w:pPr>
      <w:r w:rsidRPr="00776D3F">
        <w:rPr>
          <w:rFonts w:cs="Arial"/>
          <w:b/>
        </w:rPr>
        <w:t>Whether the cladding was installed as specified</w:t>
      </w:r>
    </w:p>
    <w:p w:rsidR="00646E60" w:rsidRPr="00776D3F" w:rsidRDefault="00646E60" w:rsidP="00646E60">
      <w:pPr>
        <w:pStyle w:val="ListParagraph"/>
        <w:rPr>
          <w:rFonts w:cs="Arial"/>
        </w:rPr>
      </w:pPr>
      <w:r w:rsidRPr="00776D3F">
        <w:rPr>
          <w:rFonts w:cs="Arial"/>
        </w:rPr>
        <w:t xml:space="preserve">The contractor, </w:t>
      </w:r>
      <w:proofErr w:type="spellStart"/>
      <w:r w:rsidRPr="00776D3F">
        <w:rPr>
          <w:rFonts w:cs="Arial"/>
        </w:rPr>
        <w:t>Fortem</w:t>
      </w:r>
      <w:proofErr w:type="spellEnd"/>
      <w:r w:rsidRPr="00776D3F">
        <w:rPr>
          <w:rFonts w:cs="Arial"/>
        </w:rPr>
        <w:t xml:space="preserve">, proposed the cladding systems that they would install on the blocks; </w:t>
      </w:r>
      <w:proofErr w:type="spellStart"/>
      <w:r w:rsidRPr="00776D3F">
        <w:rPr>
          <w:rFonts w:cs="Arial"/>
        </w:rPr>
        <w:t>Vitrabond</w:t>
      </w:r>
      <w:proofErr w:type="spellEnd"/>
      <w:r w:rsidRPr="00776D3F">
        <w:rPr>
          <w:rFonts w:cs="Arial"/>
        </w:rPr>
        <w:t xml:space="preserve"> at </w:t>
      </w:r>
      <w:proofErr w:type="spellStart"/>
      <w:r w:rsidRPr="00776D3F">
        <w:rPr>
          <w:rFonts w:cs="Arial"/>
        </w:rPr>
        <w:t>Evenlode</w:t>
      </w:r>
      <w:proofErr w:type="spellEnd"/>
      <w:r w:rsidRPr="00776D3F">
        <w:rPr>
          <w:rFonts w:cs="Arial"/>
        </w:rPr>
        <w:t xml:space="preserve"> and </w:t>
      </w:r>
      <w:proofErr w:type="spellStart"/>
      <w:r w:rsidRPr="00776D3F">
        <w:rPr>
          <w:rFonts w:cs="Arial"/>
        </w:rPr>
        <w:t>Windrush</w:t>
      </w:r>
      <w:proofErr w:type="spellEnd"/>
      <w:r w:rsidRPr="00776D3F">
        <w:rPr>
          <w:rFonts w:cs="Arial"/>
        </w:rPr>
        <w:t xml:space="preserve">, </w:t>
      </w:r>
      <w:proofErr w:type="spellStart"/>
      <w:r w:rsidRPr="00776D3F">
        <w:rPr>
          <w:rFonts w:cs="Arial"/>
        </w:rPr>
        <w:t>Trespa</w:t>
      </w:r>
      <w:proofErr w:type="spellEnd"/>
      <w:r w:rsidRPr="00776D3F">
        <w:rPr>
          <w:rFonts w:cs="Arial"/>
        </w:rPr>
        <w:t xml:space="preserve"> at </w:t>
      </w:r>
      <w:proofErr w:type="spellStart"/>
      <w:r w:rsidRPr="00776D3F">
        <w:rPr>
          <w:rFonts w:cs="Arial"/>
        </w:rPr>
        <w:t>Hockmore</w:t>
      </w:r>
      <w:proofErr w:type="spellEnd"/>
      <w:r w:rsidRPr="00776D3F">
        <w:rPr>
          <w:rFonts w:cs="Arial"/>
        </w:rPr>
        <w:t xml:space="preserve">, as per the architects drawings.  Opus, a non-combustible aluminium cladding was proposed for Foresters and </w:t>
      </w:r>
      <w:proofErr w:type="spellStart"/>
      <w:r w:rsidRPr="00776D3F">
        <w:rPr>
          <w:rFonts w:cs="Arial"/>
        </w:rPr>
        <w:t>Plowman</w:t>
      </w:r>
      <w:proofErr w:type="spellEnd"/>
      <w:r w:rsidRPr="00776D3F">
        <w:rPr>
          <w:rFonts w:cs="Arial"/>
        </w:rPr>
        <w:t xml:space="preserve">.  The structural engineers and others provided a view on methods of installation, weight etc.  As it was a design and build contract, it was </w:t>
      </w:r>
      <w:r w:rsidR="008230B0">
        <w:rPr>
          <w:rFonts w:cs="Arial"/>
        </w:rPr>
        <w:t xml:space="preserve">both </w:t>
      </w:r>
      <w:r w:rsidRPr="00776D3F">
        <w:rPr>
          <w:rFonts w:cs="Arial"/>
        </w:rPr>
        <w:t xml:space="preserve">the contractor’s responsibility </w:t>
      </w:r>
      <w:r w:rsidR="008230B0">
        <w:rPr>
          <w:rFonts w:cs="Arial"/>
        </w:rPr>
        <w:t xml:space="preserve">and in its interests </w:t>
      </w:r>
      <w:r w:rsidRPr="00776D3F">
        <w:rPr>
          <w:rFonts w:cs="Arial"/>
        </w:rPr>
        <w:t>to make sure the works proceeded as specified</w:t>
      </w:r>
      <w:r w:rsidR="008230B0">
        <w:rPr>
          <w:rFonts w:cs="Arial"/>
        </w:rPr>
        <w:t xml:space="preserve"> as they carried the </w:t>
      </w:r>
      <w:r w:rsidRPr="00776D3F">
        <w:rPr>
          <w:rFonts w:cs="Arial"/>
        </w:rPr>
        <w:t>liability, not the Council.</w:t>
      </w:r>
    </w:p>
    <w:p w:rsidR="00646E60" w:rsidRPr="00776D3F" w:rsidRDefault="00E12E71" w:rsidP="00646E60">
      <w:pPr>
        <w:pStyle w:val="ListParagraph"/>
        <w:rPr>
          <w:rFonts w:cs="Arial"/>
        </w:rPr>
      </w:pPr>
      <w:r>
        <w:rPr>
          <w:rFonts w:cs="Arial"/>
        </w:rPr>
        <w:t>However, in addition to the contractor’s quality assurance systems, the Council also employed a</w:t>
      </w:r>
      <w:r w:rsidR="00646E60" w:rsidRPr="00776D3F">
        <w:rPr>
          <w:rFonts w:cs="Arial"/>
        </w:rPr>
        <w:t xml:space="preserve"> Clerk of Works reporting to the Client Manager</w:t>
      </w:r>
      <w:r w:rsidR="00D05F28">
        <w:rPr>
          <w:rFonts w:cs="Arial"/>
        </w:rPr>
        <w:t xml:space="preserve"> also employed by the Council</w:t>
      </w:r>
      <w:r>
        <w:rPr>
          <w:rFonts w:cs="Arial"/>
        </w:rPr>
        <w:t>.  They were</w:t>
      </w:r>
      <w:r w:rsidR="00646E60" w:rsidRPr="00776D3F">
        <w:rPr>
          <w:rFonts w:cs="Arial"/>
        </w:rPr>
        <w:t xml:space="preserve"> responsible for </w:t>
      </w:r>
      <w:r>
        <w:rPr>
          <w:rFonts w:cs="Arial"/>
        </w:rPr>
        <w:t>an additional layer of quality control and raising concerns with the contractor</w:t>
      </w:r>
      <w:r w:rsidR="00646E60" w:rsidRPr="00776D3F">
        <w:rPr>
          <w:rFonts w:cs="Arial"/>
        </w:rPr>
        <w:t xml:space="preserve">.  The Clerk of Works produced monthly progress reports as the works were underway, providing details of any incidents or delays, and future actions, as well as </w:t>
      </w:r>
      <w:r w:rsidR="008230B0">
        <w:rPr>
          <w:rFonts w:cs="Arial"/>
        </w:rPr>
        <w:t xml:space="preserve">a </w:t>
      </w:r>
      <w:r w:rsidR="00646E60" w:rsidRPr="00776D3F">
        <w:rPr>
          <w:rFonts w:cs="Arial"/>
        </w:rPr>
        <w:t xml:space="preserve">commentary on the materials and workmanship.  </w:t>
      </w:r>
      <w:r w:rsidR="0052413A">
        <w:rPr>
          <w:rFonts w:cs="Arial"/>
        </w:rPr>
        <w:t>No</w:t>
      </w:r>
      <w:r w:rsidR="00646E60" w:rsidRPr="00776D3F">
        <w:rPr>
          <w:rFonts w:cs="Arial"/>
        </w:rPr>
        <w:t xml:space="preserve"> comments relating </w:t>
      </w:r>
      <w:r w:rsidR="0052413A">
        <w:rPr>
          <w:rFonts w:cs="Arial"/>
        </w:rPr>
        <w:t xml:space="preserve">specifically </w:t>
      </w:r>
      <w:r w:rsidR="00646E60" w:rsidRPr="00776D3F">
        <w:rPr>
          <w:rFonts w:cs="Arial"/>
        </w:rPr>
        <w:t xml:space="preserve">to the cladding materials on </w:t>
      </w:r>
      <w:proofErr w:type="spellStart"/>
      <w:r w:rsidR="00646E60" w:rsidRPr="00776D3F">
        <w:rPr>
          <w:rFonts w:cs="Arial"/>
        </w:rPr>
        <w:t>Evenlode</w:t>
      </w:r>
      <w:proofErr w:type="spellEnd"/>
      <w:r w:rsidR="00646E60" w:rsidRPr="00776D3F">
        <w:rPr>
          <w:rFonts w:cs="Arial"/>
        </w:rPr>
        <w:t xml:space="preserve"> or </w:t>
      </w:r>
      <w:proofErr w:type="spellStart"/>
      <w:r w:rsidR="00646E60" w:rsidRPr="00776D3F">
        <w:rPr>
          <w:rFonts w:cs="Arial"/>
        </w:rPr>
        <w:lastRenderedPageBreak/>
        <w:t>Windrush</w:t>
      </w:r>
      <w:proofErr w:type="spellEnd"/>
      <w:r w:rsidR="00646E60" w:rsidRPr="00776D3F">
        <w:rPr>
          <w:rFonts w:cs="Arial"/>
        </w:rPr>
        <w:t xml:space="preserve"> </w:t>
      </w:r>
      <w:r w:rsidR="00D05F28">
        <w:rPr>
          <w:rFonts w:cs="Arial"/>
        </w:rPr>
        <w:t xml:space="preserve">were raised and </w:t>
      </w:r>
      <w:proofErr w:type="spellStart"/>
      <w:r w:rsidR="00D05F28">
        <w:rPr>
          <w:rFonts w:cs="Arial"/>
        </w:rPr>
        <w:t>minuted</w:t>
      </w:r>
      <w:proofErr w:type="spellEnd"/>
      <w:r w:rsidR="0052413A">
        <w:rPr>
          <w:rFonts w:cs="Arial"/>
        </w:rPr>
        <w:t xml:space="preserve"> </w:t>
      </w:r>
      <w:r w:rsidR="00646E60" w:rsidRPr="00776D3F">
        <w:rPr>
          <w:rFonts w:cs="Arial"/>
        </w:rPr>
        <w:t xml:space="preserve">but on 9 April 2017, the Clerk of Works raised an issue with the workmanship at </w:t>
      </w:r>
      <w:proofErr w:type="spellStart"/>
      <w:r w:rsidR="00646E60" w:rsidRPr="00776D3F">
        <w:rPr>
          <w:rFonts w:cs="Arial"/>
        </w:rPr>
        <w:t>Evenlode</w:t>
      </w:r>
      <w:proofErr w:type="spellEnd"/>
      <w:r w:rsidR="00646E60" w:rsidRPr="00776D3F">
        <w:rPr>
          <w:rFonts w:cs="Arial"/>
        </w:rPr>
        <w:t>:</w:t>
      </w:r>
    </w:p>
    <w:p w:rsidR="00396251" w:rsidRDefault="00396251" w:rsidP="00B036A7">
      <w:pPr>
        <w:pStyle w:val="ListParagraph"/>
        <w:numPr>
          <w:ilvl w:val="0"/>
          <w:numId w:val="0"/>
        </w:numPr>
        <w:ind w:left="426"/>
        <w:rPr>
          <w:rFonts w:cs="Arial"/>
          <w:i/>
        </w:rPr>
      </w:pPr>
      <w:r w:rsidRPr="00776D3F">
        <w:rPr>
          <w:rFonts w:cs="Arial"/>
          <w:i/>
        </w:rPr>
        <w:t xml:space="preserve">“Elevations 5 and 6 are to be offered up for inspection WC 03/04/2017, I have issues regarding the </w:t>
      </w:r>
      <w:r w:rsidR="006D7B71">
        <w:rPr>
          <w:rFonts w:cs="Arial"/>
          <w:i/>
        </w:rPr>
        <w:t>r</w:t>
      </w:r>
      <w:r w:rsidRPr="00776D3F">
        <w:rPr>
          <w:rFonts w:cs="Arial"/>
          <w:i/>
        </w:rPr>
        <w:t xml:space="preserve">ain screen cladding on the remaining elevations 5 and 6 the two external corners do not appear to be running in a true horizontal line, I have mentioned this to both SM </w:t>
      </w:r>
      <w:proofErr w:type="spellStart"/>
      <w:r w:rsidRPr="00776D3F">
        <w:rPr>
          <w:rFonts w:cs="Arial"/>
          <w:i/>
        </w:rPr>
        <w:t>Evenlode</w:t>
      </w:r>
      <w:proofErr w:type="spellEnd"/>
      <w:r w:rsidRPr="00776D3F">
        <w:rPr>
          <w:rFonts w:cs="Arial"/>
          <w:i/>
        </w:rPr>
        <w:t xml:space="preserve"> and Alex </w:t>
      </w:r>
      <w:proofErr w:type="spellStart"/>
      <w:r w:rsidRPr="00776D3F">
        <w:rPr>
          <w:rFonts w:cs="Arial"/>
          <w:i/>
        </w:rPr>
        <w:t>Fortem</w:t>
      </w:r>
      <w:proofErr w:type="spellEnd"/>
      <w:r w:rsidRPr="00776D3F">
        <w:rPr>
          <w:rFonts w:cs="Arial"/>
          <w:i/>
        </w:rPr>
        <w:t xml:space="preserve"> Project Manager, the SM informed me that Richard Crook (</w:t>
      </w:r>
      <w:proofErr w:type="spellStart"/>
      <w:r w:rsidRPr="00776D3F">
        <w:rPr>
          <w:rFonts w:cs="Arial"/>
          <w:i/>
        </w:rPr>
        <w:t>Fortem</w:t>
      </w:r>
      <w:proofErr w:type="spellEnd"/>
      <w:r w:rsidRPr="00776D3F">
        <w:rPr>
          <w:rFonts w:cs="Arial"/>
          <w:i/>
        </w:rPr>
        <w:t xml:space="preserve"> Construction Manager, would have a look at the issue)” </w:t>
      </w:r>
    </w:p>
    <w:p w:rsidR="0052413A" w:rsidRPr="0052413A" w:rsidRDefault="0052413A" w:rsidP="0052413A">
      <w:pPr>
        <w:pStyle w:val="ListParagraph"/>
      </w:pPr>
      <w:r w:rsidRPr="0052413A">
        <w:t xml:space="preserve">There was an issue with staff turnover in the Clerk of Works role, which at least four people have undertaken during the project.  However, the Client Manager undertook the role when no Clerk of Works was in post and, therefore, any </w:t>
      </w:r>
      <w:r w:rsidR="00D05F28">
        <w:t>major</w:t>
      </w:r>
      <w:r w:rsidR="00D05F28" w:rsidRPr="0052413A">
        <w:t xml:space="preserve"> </w:t>
      </w:r>
      <w:r w:rsidRPr="0052413A">
        <w:t xml:space="preserve">deviations from the specification would have been identified. </w:t>
      </w:r>
      <w:r w:rsidR="00D05F28">
        <w:t xml:space="preserve"> There are no significant gaps in the Clerk of Works’ records</w:t>
      </w:r>
      <w:r w:rsidRPr="0052413A">
        <w:t xml:space="preserve"> </w:t>
      </w:r>
    </w:p>
    <w:p w:rsidR="0052413A" w:rsidRPr="00776D3F" w:rsidRDefault="0052413A" w:rsidP="00B036A7">
      <w:pPr>
        <w:pStyle w:val="ListParagraph"/>
        <w:numPr>
          <w:ilvl w:val="0"/>
          <w:numId w:val="0"/>
        </w:numPr>
        <w:ind w:left="426"/>
        <w:rPr>
          <w:rFonts w:cs="Arial"/>
        </w:rPr>
      </w:pPr>
    </w:p>
    <w:p w:rsidR="00F756C3" w:rsidRPr="00776D3F" w:rsidRDefault="00F756C3" w:rsidP="00B42C85">
      <w:pPr>
        <w:pStyle w:val="ListParagraph"/>
        <w:numPr>
          <w:ilvl w:val="0"/>
          <w:numId w:val="0"/>
        </w:numPr>
        <w:tabs>
          <w:tab w:val="clear" w:pos="426"/>
          <w:tab w:val="left" w:pos="0"/>
        </w:tabs>
        <w:rPr>
          <w:rFonts w:cs="Arial"/>
          <w:b/>
        </w:rPr>
      </w:pPr>
      <w:r w:rsidRPr="00776D3F">
        <w:rPr>
          <w:rFonts w:cs="Arial"/>
          <w:b/>
        </w:rPr>
        <w:t>How the statutory approval process was carri</w:t>
      </w:r>
      <w:r w:rsidR="00B42C85">
        <w:rPr>
          <w:rFonts w:cs="Arial"/>
          <w:b/>
        </w:rPr>
        <w:t xml:space="preserve">ed out (to include how Building </w:t>
      </w:r>
      <w:r w:rsidRPr="00776D3F">
        <w:rPr>
          <w:rFonts w:cs="Arial"/>
          <w:b/>
        </w:rPr>
        <w:t>Regulations and other fire safety requirements known at the time</w:t>
      </w:r>
      <w:r w:rsidR="00174EC5">
        <w:rPr>
          <w:rFonts w:cs="Arial"/>
          <w:b/>
        </w:rPr>
        <w:t xml:space="preserve"> were met</w:t>
      </w:r>
      <w:r w:rsidR="007B2409">
        <w:rPr>
          <w:rFonts w:cs="Arial"/>
          <w:b/>
        </w:rPr>
        <w:t>)</w:t>
      </w:r>
    </w:p>
    <w:p w:rsidR="00646E60" w:rsidRPr="00776D3F" w:rsidRDefault="00520A80" w:rsidP="005C4DE0">
      <w:pPr>
        <w:pStyle w:val="ListParagraph"/>
        <w:rPr>
          <w:rFonts w:cs="Arial"/>
        </w:rPr>
      </w:pPr>
      <w:r w:rsidRPr="00776D3F">
        <w:rPr>
          <w:rFonts w:cs="Arial"/>
        </w:rPr>
        <w:t>Building Control provided input at the pre-application stage including about the means of escape and fire alarms</w:t>
      </w:r>
      <w:r w:rsidR="00D05F28">
        <w:rPr>
          <w:rFonts w:cs="Arial"/>
        </w:rPr>
        <w:t>.  C</w:t>
      </w:r>
      <w:r w:rsidRPr="00776D3F">
        <w:rPr>
          <w:rFonts w:cs="Arial"/>
        </w:rPr>
        <w:t>ladding did not feature as part of those discussions</w:t>
      </w:r>
      <w:r w:rsidR="00D05F28">
        <w:rPr>
          <w:rFonts w:cs="Arial"/>
        </w:rPr>
        <w:t xml:space="preserve"> because at that time there was no reason to believe that there was a potential issue</w:t>
      </w:r>
      <w:r w:rsidRPr="00776D3F">
        <w:rPr>
          <w:rFonts w:cs="Arial"/>
        </w:rPr>
        <w:t>.</w:t>
      </w:r>
    </w:p>
    <w:p w:rsidR="00520A80" w:rsidRPr="00776D3F" w:rsidRDefault="00520A80" w:rsidP="00520A80">
      <w:pPr>
        <w:pStyle w:val="ListParagraph"/>
        <w:rPr>
          <w:rFonts w:cs="Arial"/>
        </w:rPr>
      </w:pPr>
      <w:r w:rsidRPr="00776D3F">
        <w:rPr>
          <w:rFonts w:cs="Arial"/>
        </w:rPr>
        <w:t xml:space="preserve">Building Control is responsible for ensuring that the cladding is installed in accordance with the Building Regulations.  However, it is a duty of the contactor (and the applicant) to notify Building Control when statutory inspections under the Building Regulations are </w:t>
      </w:r>
      <w:r w:rsidR="00174EC5">
        <w:rPr>
          <w:rFonts w:cs="Arial"/>
        </w:rPr>
        <w:t xml:space="preserve">due </w:t>
      </w:r>
      <w:r w:rsidRPr="00776D3F">
        <w:rPr>
          <w:rFonts w:cs="Arial"/>
        </w:rPr>
        <w:t>to be carried out.  Building Control will also carry out informal inspections and provide advice.</w:t>
      </w:r>
    </w:p>
    <w:p w:rsidR="00520A80" w:rsidRPr="00776D3F" w:rsidRDefault="00520A80" w:rsidP="00520A80">
      <w:pPr>
        <w:pStyle w:val="ListParagraph"/>
        <w:rPr>
          <w:rFonts w:cs="Arial"/>
        </w:rPr>
      </w:pPr>
      <w:r w:rsidRPr="00776D3F">
        <w:rPr>
          <w:rFonts w:cs="Arial"/>
        </w:rPr>
        <w:t>During the contract phase, there was a duty on the contractor to provide certifications for the cladding materials and to call Building Control in at ‘statutory inspection stages’</w:t>
      </w:r>
      <w:r w:rsidR="00174EC5">
        <w:rPr>
          <w:rFonts w:cs="Arial"/>
        </w:rPr>
        <w:t>.</w:t>
      </w:r>
    </w:p>
    <w:p w:rsidR="00520A80" w:rsidRPr="0052413A" w:rsidRDefault="00174EC5" w:rsidP="00520A80">
      <w:pPr>
        <w:pStyle w:val="ListParagraph"/>
        <w:rPr>
          <w:rFonts w:cs="Arial"/>
          <w:color w:val="auto"/>
        </w:rPr>
      </w:pPr>
      <w:r>
        <w:rPr>
          <w:rFonts w:cs="Arial"/>
          <w:color w:val="auto"/>
        </w:rPr>
        <w:t xml:space="preserve">Initially </w:t>
      </w:r>
      <w:r w:rsidR="00520A80" w:rsidRPr="0052413A">
        <w:rPr>
          <w:rFonts w:cs="Arial"/>
          <w:color w:val="auto"/>
        </w:rPr>
        <w:t xml:space="preserve">the contractor </w:t>
      </w:r>
      <w:r w:rsidR="004A6B83" w:rsidRPr="0052413A">
        <w:rPr>
          <w:rFonts w:cs="Arial"/>
          <w:color w:val="auto"/>
        </w:rPr>
        <w:t xml:space="preserve">mistakenly thought that the works could be dealt with by way of Building Notices, rather than </w:t>
      </w:r>
      <w:r w:rsidR="002F342B" w:rsidRPr="0052413A">
        <w:rPr>
          <w:rFonts w:cs="Arial"/>
          <w:color w:val="auto"/>
        </w:rPr>
        <w:t xml:space="preserve">by way of </w:t>
      </w:r>
      <w:r w:rsidR="004A6B83" w:rsidRPr="0052413A">
        <w:rPr>
          <w:rFonts w:cs="Arial"/>
          <w:color w:val="auto"/>
        </w:rPr>
        <w:t>the ‘full plans’ building applications process</w:t>
      </w:r>
      <w:r w:rsidR="002F342B" w:rsidRPr="0052413A">
        <w:rPr>
          <w:rFonts w:cs="Arial"/>
          <w:color w:val="auto"/>
        </w:rPr>
        <w:t>.  Th</w:t>
      </w:r>
      <w:r>
        <w:rPr>
          <w:rFonts w:cs="Arial"/>
          <w:color w:val="auto"/>
        </w:rPr>
        <w:t xml:space="preserve">is was in part due to capacity issues within </w:t>
      </w:r>
      <w:r w:rsidR="002F342B" w:rsidRPr="0052413A">
        <w:rPr>
          <w:rFonts w:cs="Arial"/>
          <w:color w:val="auto"/>
        </w:rPr>
        <w:t xml:space="preserve">Building Control </w:t>
      </w:r>
      <w:r>
        <w:rPr>
          <w:rFonts w:cs="Arial"/>
          <w:color w:val="auto"/>
        </w:rPr>
        <w:t>and the</w:t>
      </w:r>
      <w:r w:rsidRPr="0052413A">
        <w:rPr>
          <w:rFonts w:cs="Arial"/>
          <w:color w:val="auto"/>
        </w:rPr>
        <w:t xml:space="preserve"> lack of continuity</w:t>
      </w:r>
      <w:r>
        <w:rPr>
          <w:rFonts w:cs="Arial"/>
          <w:color w:val="auto"/>
        </w:rPr>
        <w:t xml:space="preserve"> in</w:t>
      </w:r>
      <w:r w:rsidRPr="0052413A">
        <w:rPr>
          <w:rFonts w:cs="Arial"/>
          <w:color w:val="auto"/>
        </w:rPr>
        <w:t xml:space="preserve"> </w:t>
      </w:r>
      <w:r w:rsidR="002F342B" w:rsidRPr="0052413A">
        <w:rPr>
          <w:rFonts w:cs="Arial"/>
          <w:color w:val="auto"/>
        </w:rPr>
        <w:t xml:space="preserve">officers dealing with case, who were agency and temporary </w:t>
      </w:r>
      <w:r>
        <w:rPr>
          <w:rFonts w:cs="Arial"/>
          <w:color w:val="auto"/>
        </w:rPr>
        <w:t>staff</w:t>
      </w:r>
      <w:r w:rsidR="002F342B" w:rsidRPr="0052413A">
        <w:rPr>
          <w:rFonts w:cs="Arial"/>
          <w:color w:val="auto"/>
        </w:rPr>
        <w:t xml:space="preserve">.  However, </w:t>
      </w:r>
      <w:r w:rsidR="00F87D3C" w:rsidRPr="0052413A">
        <w:rPr>
          <w:rFonts w:cs="Arial"/>
          <w:color w:val="auto"/>
        </w:rPr>
        <w:t xml:space="preserve">the matter </w:t>
      </w:r>
      <w:r w:rsidR="002F342B" w:rsidRPr="0052413A">
        <w:rPr>
          <w:rFonts w:cs="Arial"/>
          <w:color w:val="auto"/>
        </w:rPr>
        <w:t>was</w:t>
      </w:r>
      <w:r w:rsidR="00F87D3C" w:rsidRPr="0052413A">
        <w:rPr>
          <w:rFonts w:cs="Arial"/>
          <w:color w:val="auto"/>
        </w:rPr>
        <w:t xml:space="preserve"> </w:t>
      </w:r>
      <w:r w:rsidR="00255654">
        <w:rPr>
          <w:rFonts w:cs="Arial"/>
          <w:color w:val="auto"/>
        </w:rPr>
        <w:t>clarified</w:t>
      </w:r>
      <w:r w:rsidR="002F342B" w:rsidRPr="0052413A">
        <w:rPr>
          <w:rFonts w:cs="Arial"/>
          <w:color w:val="auto"/>
        </w:rPr>
        <w:t xml:space="preserve"> by the Council’s senior Building Control officer</w:t>
      </w:r>
      <w:r w:rsidR="00F87D3C" w:rsidRPr="0052413A">
        <w:rPr>
          <w:rFonts w:cs="Arial"/>
          <w:color w:val="auto"/>
        </w:rPr>
        <w:t xml:space="preserve"> and t</w:t>
      </w:r>
      <w:r w:rsidR="002F342B" w:rsidRPr="0052413A">
        <w:rPr>
          <w:rFonts w:cs="Arial"/>
          <w:color w:val="auto"/>
        </w:rPr>
        <w:t>here was</w:t>
      </w:r>
      <w:r w:rsidR="00520A80" w:rsidRPr="0052413A">
        <w:rPr>
          <w:rFonts w:cs="Arial"/>
          <w:color w:val="auto"/>
        </w:rPr>
        <w:t xml:space="preserve"> no significant </w:t>
      </w:r>
      <w:r w:rsidR="002F342B" w:rsidRPr="0052413A">
        <w:rPr>
          <w:rFonts w:cs="Arial"/>
          <w:color w:val="auto"/>
        </w:rPr>
        <w:t>impact</w:t>
      </w:r>
      <w:r w:rsidR="00520A80" w:rsidRPr="0052413A">
        <w:rPr>
          <w:rFonts w:cs="Arial"/>
          <w:color w:val="auto"/>
        </w:rPr>
        <w:t xml:space="preserve"> on giving approval to the cladding.  </w:t>
      </w:r>
    </w:p>
    <w:p w:rsidR="00520A80" w:rsidRPr="00776D3F" w:rsidRDefault="00520A80" w:rsidP="00520A80">
      <w:pPr>
        <w:pStyle w:val="ListParagraph"/>
        <w:rPr>
          <w:rFonts w:cs="Arial"/>
        </w:rPr>
      </w:pPr>
      <w:r w:rsidRPr="00776D3F">
        <w:rPr>
          <w:rFonts w:cs="Arial"/>
        </w:rPr>
        <w:t xml:space="preserve">The British Board of </w:t>
      </w:r>
      <w:proofErr w:type="spellStart"/>
      <w:r w:rsidRPr="00776D3F">
        <w:rPr>
          <w:rFonts w:cs="Arial"/>
        </w:rPr>
        <w:t>Agrement</w:t>
      </w:r>
      <w:proofErr w:type="spellEnd"/>
      <w:r w:rsidRPr="00776D3F">
        <w:rPr>
          <w:rFonts w:cs="Arial"/>
        </w:rPr>
        <w:t xml:space="preserve"> (BBA) certificate for </w:t>
      </w:r>
      <w:proofErr w:type="spellStart"/>
      <w:r w:rsidRPr="00776D3F">
        <w:rPr>
          <w:rFonts w:cs="Arial"/>
        </w:rPr>
        <w:t>Vitrabond</w:t>
      </w:r>
      <w:proofErr w:type="spellEnd"/>
      <w:r w:rsidRPr="00776D3F">
        <w:rPr>
          <w:rFonts w:cs="Arial"/>
        </w:rPr>
        <w:t xml:space="preserve"> aluminium composite rain screen cladding panels was provided by the contractor.  It states that the material has a reaction to fire classification of ‘B’ and may be regarded as being ‘Class O’ in the national system (for surface spread of flame).  The BBA does not recommend any height restrictio</w:t>
      </w:r>
      <w:r w:rsidR="007B2409">
        <w:rPr>
          <w:rFonts w:cs="Arial"/>
        </w:rPr>
        <w:t>ns on the use of this material</w:t>
      </w:r>
      <w:r w:rsidRPr="00776D3F">
        <w:rPr>
          <w:rFonts w:cs="Arial"/>
        </w:rPr>
        <w:t xml:space="preserve">.  </w:t>
      </w:r>
    </w:p>
    <w:p w:rsidR="00EF1287" w:rsidRPr="00776D3F" w:rsidRDefault="00520A80" w:rsidP="00520A80">
      <w:pPr>
        <w:pStyle w:val="ListParagraph"/>
        <w:rPr>
          <w:rFonts w:cs="Arial"/>
          <w:b/>
        </w:rPr>
      </w:pPr>
      <w:r w:rsidRPr="00776D3F">
        <w:rPr>
          <w:rFonts w:cs="Arial"/>
        </w:rPr>
        <w:t xml:space="preserve">Building Control also received BBAs for Rockwool insulation (used on all blocks) and the </w:t>
      </w:r>
      <w:proofErr w:type="spellStart"/>
      <w:r w:rsidRPr="00776D3F">
        <w:rPr>
          <w:rFonts w:cs="Arial"/>
        </w:rPr>
        <w:t>Trespa</w:t>
      </w:r>
      <w:proofErr w:type="spellEnd"/>
      <w:r w:rsidRPr="00776D3F">
        <w:rPr>
          <w:rFonts w:cs="Arial"/>
        </w:rPr>
        <w:t xml:space="preserve"> cladding for </w:t>
      </w:r>
      <w:proofErr w:type="spellStart"/>
      <w:r w:rsidRPr="00776D3F">
        <w:rPr>
          <w:rFonts w:cs="Arial"/>
        </w:rPr>
        <w:t>Hockmore</w:t>
      </w:r>
      <w:proofErr w:type="spellEnd"/>
      <w:r w:rsidRPr="00776D3F">
        <w:rPr>
          <w:rFonts w:cs="Arial"/>
        </w:rPr>
        <w:t xml:space="preserve">.  The Opus aluminium rain screen cladding for </w:t>
      </w:r>
      <w:proofErr w:type="spellStart"/>
      <w:r w:rsidRPr="00776D3F">
        <w:rPr>
          <w:rFonts w:cs="Arial"/>
        </w:rPr>
        <w:t>Plowman</w:t>
      </w:r>
      <w:proofErr w:type="spellEnd"/>
      <w:r w:rsidRPr="00776D3F">
        <w:rPr>
          <w:rFonts w:cs="Arial"/>
        </w:rPr>
        <w:t xml:space="preserve"> and Foresters towers also has the required </w:t>
      </w:r>
      <w:r w:rsidR="001435FD">
        <w:rPr>
          <w:rFonts w:cs="Arial"/>
        </w:rPr>
        <w:t xml:space="preserve">European standard </w:t>
      </w:r>
      <w:r w:rsidRPr="00776D3F">
        <w:rPr>
          <w:rFonts w:cs="Arial"/>
        </w:rPr>
        <w:t xml:space="preserve">certification.  Building Control </w:t>
      </w:r>
      <w:proofErr w:type="gramStart"/>
      <w:r w:rsidR="00174EC5">
        <w:rPr>
          <w:rFonts w:cs="Arial"/>
        </w:rPr>
        <w:t>have</w:t>
      </w:r>
      <w:proofErr w:type="gramEnd"/>
      <w:r w:rsidR="00174EC5">
        <w:rPr>
          <w:rFonts w:cs="Arial"/>
        </w:rPr>
        <w:t xml:space="preserve"> </w:t>
      </w:r>
      <w:r w:rsidRPr="00776D3F">
        <w:rPr>
          <w:rFonts w:cs="Arial"/>
        </w:rPr>
        <w:t xml:space="preserve">confirmed </w:t>
      </w:r>
      <w:r w:rsidR="001435FD">
        <w:rPr>
          <w:rFonts w:cs="Arial"/>
        </w:rPr>
        <w:t xml:space="preserve">that these products comply with the </w:t>
      </w:r>
      <w:r w:rsidR="00375466">
        <w:rPr>
          <w:rFonts w:cs="Arial"/>
        </w:rPr>
        <w:t>Building Regulations</w:t>
      </w:r>
      <w:r w:rsidRPr="00776D3F">
        <w:rPr>
          <w:rFonts w:cs="Arial"/>
        </w:rPr>
        <w:t xml:space="preserve">. </w:t>
      </w:r>
    </w:p>
    <w:p w:rsidR="00520A80" w:rsidRPr="00776D3F" w:rsidRDefault="00520A80" w:rsidP="00520A80">
      <w:pPr>
        <w:pStyle w:val="ListParagraph"/>
        <w:ind w:left="502" w:hanging="360"/>
        <w:rPr>
          <w:rFonts w:cs="Arial"/>
        </w:rPr>
      </w:pPr>
      <w:r w:rsidRPr="00776D3F">
        <w:rPr>
          <w:rFonts w:cs="Arial"/>
        </w:rPr>
        <w:t xml:space="preserve"> Given the nature of a design and build contract, Building Control’s approach </w:t>
      </w:r>
      <w:r w:rsidR="004364E5">
        <w:rPr>
          <w:rFonts w:cs="Arial"/>
        </w:rPr>
        <w:t>is</w:t>
      </w:r>
      <w:r w:rsidRPr="00776D3F">
        <w:rPr>
          <w:rFonts w:cs="Arial"/>
        </w:rPr>
        <w:t xml:space="preserve"> to comment but not formally approve works </w:t>
      </w:r>
      <w:r w:rsidR="00375466">
        <w:rPr>
          <w:rFonts w:cs="Arial"/>
        </w:rPr>
        <w:t xml:space="preserve">for final completion </w:t>
      </w:r>
      <w:r w:rsidRPr="00776D3F">
        <w:rPr>
          <w:rFonts w:cs="Arial"/>
        </w:rPr>
        <w:t xml:space="preserve">until such a time as </w:t>
      </w:r>
      <w:r w:rsidRPr="00776D3F">
        <w:rPr>
          <w:rFonts w:cs="Arial"/>
        </w:rPr>
        <w:lastRenderedPageBreak/>
        <w:t>all the works on a block have been completed and a full inspection has taken place involving Building Control, Housing Services and OFRS.</w:t>
      </w:r>
    </w:p>
    <w:p w:rsidR="00D90001" w:rsidRPr="00776D3F" w:rsidRDefault="00F7648F" w:rsidP="00780BB9">
      <w:pPr>
        <w:pStyle w:val="ListParagraph"/>
        <w:ind w:left="502" w:hanging="360"/>
        <w:rPr>
          <w:rFonts w:cs="Arial"/>
        </w:rPr>
      </w:pPr>
      <w:r>
        <w:rPr>
          <w:rFonts w:cs="Arial"/>
        </w:rPr>
        <w:t>Building Control followed the</w:t>
      </w:r>
      <w:r w:rsidR="00780BB9" w:rsidRPr="00776D3F">
        <w:rPr>
          <w:rFonts w:cs="Arial"/>
        </w:rPr>
        <w:t xml:space="preserve"> Building Regulations</w:t>
      </w:r>
      <w:r w:rsidR="007B2409">
        <w:rPr>
          <w:rFonts w:cs="Arial"/>
        </w:rPr>
        <w:t xml:space="preserve">, </w:t>
      </w:r>
      <w:r>
        <w:rPr>
          <w:rFonts w:cs="Arial"/>
        </w:rPr>
        <w:t xml:space="preserve">the key points of which </w:t>
      </w:r>
      <w:r w:rsidR="00396251" w:rsidRPr="00776D3F">
        <w:rPr>
          <w:rFonts w:cs="Arial"/>
        </w:rPr>
        <w:t>are</w:t>
      </w:r>
      <w:r w:rsidR="00780BB9" w:rsidRPr="00776D3F">
        <w:rPr>
          <w:rFonts w:cs="Arial"/>
        </w:rPr>
        <w:t>:</w:t>
      </w:r>
    </w:p>
    <w:p w:rsidR="00D90001" w:rsidRPr="00653A89" w:rsidRDefault="00D90001" w:rsidP="00653A89">
      <w:pPr>
        <w:pStyle w:val="ListParagraph"/>
        <w:numPr>
          <w:ilvl w:val="0"/>
          <w:numId w:val="40"/>
        </w:numPr>
        <w:rPr>
          <w:rFonts w:cs="Arial"/>
          <w:i/>
        </w:rPr>
      </w:pPr>
      <w:r w:rsidRPr="00776D3F">
        <w:rPr>
          <w:rFonts w:cs="Arial"/>
          <w:i/>
        </w:rPr>
        <w:t xml:space="preserve">According to Diagram 40, surface materials used over 18m high must be rated at least B in the </w:t>
      </w:r>
      <w:proofErr w:type="spellStart"/>
      <w:r w:rsidRPr="00776D3F">
        <w:rPr>
          <w:rFonts w:cs="Arial"/>
          <w:i/>
        </w:rPr>
        <w:t>Euroclass</w:t>
      </w:r>
      <w:proofErr w:type="spellEnd"/>
      <w:r w:rsidRPr="00776D3F">
        <w:rPr>
          <w:rFonts w:cs="Arial"/>
          <w:i/>
        </w:rPr>
        <w:t xml:space="preserve"> system or class 0 in the national system </w:t>
      </w:r>
      <w:r w:rsidR="00653A89">
        <w:rPr>
          <w:rFonts w:cs="Arial"/>
          <w:i/>
        </w:rPr>
        <w:t>–</w:t>
      </w:r>
      <w:r w:rsidRPr="00776D3F">
        <w:rPr>
          <w:rFonts w:cs="Arial"/>
          <w:i/>
        </w:rPr>
        <w:t xml:space="preserve"> </w:t>
      </w:r>
      <w:proofErr w:type="spellStart"/>
      <w:r w:rsidRPr="00653A89">
        <w:rPr>
          <w:rFonts w:cs="Arial"/>
          <w:i/>
        </w:rPr>
        <w:t>Vitrabond</w:t>
      </w:r>
      <w:proofErr w:type="spellEnd"/>
      <w:r w:rsidRPr="00653A89">
        <w:rPr>
          <w:rFonts w:cs="Arial"/>
          <w:i/>
        </w:rPr>
        <w:t xml:space="preserve"> meets this standard as per the BBA certificate.</w:t>
      </w:r>
    </w:p>
    <w:p w:rsidR="00D90001" w:rsidRPr="00776D3F" w:rsidRDefault="00D90001" w:rsidP="00D90001">
      <w:pPr>
        <w:pStyle w:val="ListParagraph"/>
        <w:numPr>
          <w:ilvl w:val="0"/>
          <w:numId w:val="40"/>
        </w:numPr>
        <w:rPr>
          <w:rFonts w:cs="Arial"/>
          <w:i/>
        </w:rPr>
      </w:pPr>
      <w:r w:rsidRPr="00776D3F">
        <w:rPr>
          <w:rFonts w:cs="Arial"/>
          <w:i/>
        </w:rPr>
        <w:t xml:space="preserve">According to Paragraph 12.7, any insulation or filler material used over 18m high should be of limited combustibility (defined as at least ‘A2’ in the </w:t>
      </w:r>
      <w:proofErr w:type="spellStart"/>
      <w:r w:rsidRPr="00776D3F">
        <w:rPr>
          <w:rFonts w:cs="Arial"/>
          <w:i/>
        </w:rPr>
        <w:t>Euroclass</w:t>
      </w:r>
      <w:proofErr w:type="spellEnd"/>
      <w:r w:rsidRPr="00776D3F">
        <w:rPr>
          <w:rFonts w:cs="Arial"/>
          <w:i/>
        </w:rPr>
        <w:t xml:space="preserve"> system or ‘20’ in the national system) – Rockwool exceeds this standard.</w:t>
      </w:r>
    </w:p>
    <w:p w:rsidR="00396251" w:rsidRPr="0052413A" w:rsidRDefault="00396251" w:rsidP="000057E0">
      <w:pPr>
        <w:pStyle w:val="ListParagraph"/>
        <w:numPr>
          <w:ilvl w:val="0"/>
          <w:numId w:val="0"/>
        </w:numPr>
        <w:spacing w:after="0"/>
        <w:ind w:left="505"/>
        <w:rPr>
          <w:rFonts w:cs="Arial"/>
          <w:color w:val="auto"/>
        </w:rPr>
      </w:pPr>
    </w:p>
    <w:p w:rsidR="00423452" w:rsidRPr="00776D3F" w:rsidRDefault="00D90001" w:rsidP="00D90001">
      <w:pPr>
        <w:pStyle w:val="ListParagraph"/>
        <w:ind w:left="502" w:hanging="360"/>
        <w:rPr>
          <w:rFonts w:cs="Arial"/>
          <w:i/>
        </w:rPr>
      </w:pPr>
      <w:r w:rsidRPr="00776D3F">
        <w:rPr>
          <w:rFonts w:cs="Arial"/>
        </w:rPr>
        <w:t>In June 2015</w:t>
      </w:r>
      <w:r w:rsidR="00F7648F">
        <w:rPr>
          <w:rFonts w:cs="Arial"/>
        </w:rPr>
        <w:t>,</w:t>
      </w:r>
      <w:r w:rsidRPr="00776D3F">
        <w:rPr>
          <w:rFonts w:cs="Arial"/>
        </w:rPr>
        <w:t xml:space="preserve"> the Building Control Alliance (BCA) issued guidance which offers four routes to compliance:</w:t>
      </w:r>
      <w:r w:rsidR="00423452" w:rsidRPr="00776D3F">
        <w:rPr>
          <w:rFonts w:cs="Arial"/>
        </w:rPr>
        <w:t xml:space="preserve"> </w:t>
      </w:r>
    </w:p>
    <w:p w:rsidR="00423452" w:rsidRPr="00776D3F" w:rsidRDefault="00D90001" w:rsidP="00423452">
      <w:pPr>
        <w:pStyle w:val="ListParagraph"/>
        <w:numPr>
          <w:ilvl w:val="0"/>
          <w:numId w:val="41"/>
        </w:numPr>
        <w:rPr>
          <w:rFonts w:cs="Arial"/>
          <w:i/>
        </w:rPr>
      </w:pPr>
      <w:r w:rsidRPr="00776D3F">
        <w:rPr>
          <w:rFonts w:cs="Arial"/>
          <w:i/>
        </w:rPr>
        <w:t>The use of materials of limited combustibility (</w:t>
      </w:r>
      <w:r w:rsidR="007B2409">
        <w:rPr>
          <w:rFonts w:cs="Arial"/>
          <w:i/>
        </w:rPr>
        <w:t xml:space="preserve">i.e. </w:t>
      </w:r>
      <w:r w:rsidRPr="00776D3F">
        <w:rPr>
          <w:rFonts w:cs="Arial"/>
          <w:i/>
        </w:rPr>
        <w:t>A2 or better) for all elements of the cladding system (which would include the rain screen).</w:t>
      </w:r>
    </w:p>
    <w:p w:rsidR="00423452" w:rsidRPr="00776D3F" w:rsidRDefault="00423452" w:rsidP="00423452">
      <w:pPr>
        <w:pStyle w:val="ListParagraph"/>
        <w:numPr>
          <w:ilvl w:val="0"/>
          <w:numId w:val="41"/>
        </w:numPr>
        <w:rPr>
          <w:rFonts w:cs="Arial"/>
          <w:i/>
        </w:rPr>
      </w:pPr>
      <w:r w:rsidRPr="00776D3F">
        <w:rPr>
          <w:rFonts w:cs="Arial"/>
          <w:i/>
        </w:rPr>
        <w:t xml:space="preserve"> </w:t>
      </w:r>
      <w:r w:rsidR="00D90001" w:rsidRPr="00776D3F">
        <w:rPr>
          <w:rFonts w:cs="Arial"/>
          <w:i/>
        </w:rPr>
        <w:t xml:space="preserve">Evidence that the complete external cladding system has been assessed in a fire test as </w:t>
      </w:r>
      <w:r w:rsidR="000057E0">
        <w:rPr>
          <w:rFonts w:cs="Arial"/>
          <w:i/>
        </w:rPr>
        <w:t>meeting the acceptable criteria.</w:t>
      </w:r>
    </w:p>
    <w:p w:rsidR="00423452" w:rsidRPr="00776D3F" w:rsidRDefault="00D90001" w:rsidP="00423452">
      <w:pPr>
        <w:pStyle w:val="ListParagraph"/>
        <w:numPr>
          <w:ilvl w:val="0"/>
          <w:numId w:val="41"/>
        </w:numPr>
        <w:rPr>
          <w:rFonts w:cs="Arial"/>
          <w:i/>
        </w:rPr>
      </w:pPr>
      <w:r w:rsidRPr="00776D3F">
        <w:rPr>
          <w:rFonts w:cs="Arial"/>
          <w:i/>
        </w:rPr>
        <w:t>A desktop study by a qualified fire specialist supported by test data.</w:t>
      </w:r>
    </w:p>
    <w:p w:rsidR="00D90001" w:rsidRDefault="00D90001" w:rsidP="00423452">
      <w:pPr>
        <w:pStyle w:val="ListParagraph"/>
        <w:numPr>
          <w:ilvl w:val="0"/>
          <w:numId w:val="41"/>
        </w:numPr>
        <w:rPr>
          <w:rFonts w:cs="Arial"/>
        </w:rPr>
      </w:pPr>
      <w:r w:rsidRPr="00776D3F">
        <w:rPr>
          <w:rFonts w:cs="Arial"/>
          <w:i/>
        </w:rPr>
        <w:t>A holistic fire engineered approach supported by qualitative analysis</w:t>
      </w:r>
      <w:r w:rsidRPr="00776D3F">
        <w:rPr>
          <w:rFonts w:cs="Arial"/>
        </w:rPr>
        <w:t>.</w:t>
      </w:r>
    </w:p>
    <w:p w:rsidR="000057E0" w:rsidRPr="00776D3F" w:rsidRDefault="000057E0" w:rsidP="000057E0">
      <w:pPr>
        <w:pStyle w:val="ListParagraph"/>
        <w:numPr>
          <w:ilvl w:val="0"/>
          <w:numId w:val="0"/>
        </w:numPr>
        <w:spacing w:after="0"/>
        <w:ind w:left="1440"/>
        <w:rPr>
          <w:rFonts w:cs="Arial"/>
        </w:rPr>
      </w:pPr>
    </w:p>
    <w:p w:rsidR="00D90001" w:rsidRPr="00776D3F" w:rsidRDefault="00D90001" w:rsidP="00D90001">
      <w:pPr>
        <w:pStyle w:val="ListParagraph"/>
        <w:ind w:left="502" w:hanging="360"/>
        <w:rPr>
          <w:rFonts w:cs="Arial"/>
        </w:rPr>
      </w:pPr>
      <w:r w:rsidRPr="00776D3F">
        <w:rPr>
          <w:rFonts w:cs="Arial"/>
        </w:rPr>
        <w:t xml:space="preserve">The first option would exclude the use of </w:t>
      </w:r>
      <w:proofErr w:type="spellStart"/>
      <w:r w:rsidRPr="00776D3F">
        <w:rPr>
          <w:rFonts w:cs="Arial"/>
        </w:rPr>
        <w:t>Vitrabond</w:t>
      </w:r>
      <w:proofErr w:type="spellEnd"/>
      <w:r w:rsidRPr="00776D3F">
        <w:rPr>
          <w:rFonts w:cs="Arial"/>
        </w:rPr>
        <w:t xml:space="preserve"> but it is likely that at least one of the other options could have led to its use.  Indeed, it has been reported that desktop studies have resulted in the use of ACM cladding over combustible insulation in</w:t>
      </w:r>
      <w:r w:rsidR="000F5D8F">
        <w:rPr>
          <w:rFonts w:cs="Arial"/>
        </w:rPr>
        <w:t xml:space="preserve"> other parts of</w:t>
      </w:r>
      <w:r w:rsidRPr="00776D3F">
        <w:rPr>
          <w:rFonts w:cs="Arial"/>
        </w:rPr>
        <w:t xml:space="preserve"> the UK</w:t>
      </w:r>
      <w:r w:rsidRPr="00776D3F">
        <w:rPr>
          <w:rStyle w:val="FootnoteReference"/>
          <w:rFonts w:cs="Arial"/>
        </w:rPr>
        <w:footnoteReference w:id="1"/>
      </w:r>
      <w:r w:rsidRPr="00776D3F">
        <w:rPr>
          <w:rFonts w:cs="Arial"/>
        </w:rPr>
        <w:t>.</w:t>
      </w:r>
      <w:r w:rsidR="000F5D8F">
        <w:rPr>
          <w:rFonts w:cs="Arial"/>
        </w:rPr>
        <w:t xml:space="preserve"> </w:t>
      </w:r>
      <w:r w:rsidRPr="00776D3F">
        <w:rPr>
          <w:rFonts w:cs="Arial"/>
        </w:rPr>
        <w:t xml:space="preserve"> </w:t>
      </w:r>
      <w:r w:rsidR="00F7648F" w:rsidRPr="00124798">
        <w:rPr>
          <w:rFonts w:cs="Arial"/>
          <w:color w:val="auto"/>
        </w:rPr>
        <w:t>Building Contro</w:t>
      </w:r>
      <w:r w:rsidR="007B2409" w:rsidRPr="00124798">
        <w:rPr>
          <w:rFonts w:cs="Arial"/>
          <w:color w:val="auto"/>
        </w:rPr>
        <w:t>l based their assessment on the Building Regulations rather than the BCA guidance.</w:t>
      </w:r>
    </w:p>
    <w:p w:rsidR="00F83832" w:rsidRDefault="00F83832" w:rsidP="00247F97">
      <w:pPr>
        <w:rPr>
          <w:rFonts w:cs="Arial"/>
          <w:b/>
        </w:rPr>
      </w:pPr>
    </w:p>
    <w:p w:rsidR="00247F97" w:rsidRPr="00776D3F" w:rsidRDefault="00247F97" w:rsidP="00247F97">
      <w:pPr>
        <w:rPr>
          <w:rFonts w:cs="Arial"/>
          <w:b/>
        </w:rPr>
      </w:pPr>
      <w:r w:rsidRPr="00776D3F">
        <w:rPr>
          <w:rFonts w:cs="Arial"/>
          <w:b/>
        </w:rPr>
        <w:t>The engagement that took place with tenants and leaseholders (residents) about the new fire protection arrangements after they were installed</w:t>
      </w:r>
    </w:p>
    <w:p w:rsidR="0084214D" w:rsidRPr="00776D3F" w:rsidRDefault="0084214D" w:rsidP="0084214D">
      <w:pPr>
        <w:pStyle w:val="ListParagraph"/>
        <w:ind w:left="502" w:hanging="360"/>
        <w:rPr>
          <w:rFonts w:cs="Arial"/>
        </w:rPr>
      </w:pPr>
      <w:r w:rsidRPr="00776D3F">
        <w:rPr>
          <w:rFonts w:cs="Arial"/>
        </w:rPr>
        <w:t>Since the fire safety measures for the blocks were agreed, the Council has worked with residents to ensure they underst</w:t>
      </w:r>
      <w:r w:rsidR="009B2B00">
        <w:rPr>
          <w:rFonts w:cs="Arial"/>
        </w:rPr>
        <w:t>and</w:t>
      </w:r>
      <w:r w:rsidRPr="00776D3F">
        <w:rPr>
          <w:rFonts w:cs="Arial"/>
        </w:rPr>
        <w:t xml:space="preserve"> the a</w:t>
      </w:r>
      <w:r w:rsidR="009B2B00">
        <w:rPr>
          <w:rFonts w:cs="Arial"/>
        </w:rPr>
        <w:t>rrangements in place and a</w:t>
      </w:r>
      <w:r w:rsidRPr="00776D3F">
        <w:rPr>
          <w:rFonts w:cs="Arial"/>
        </w:rPr>
        <w:t>dvice</w:t>
      </w:r>
      <w:r w:rsidR="009B2B00">
        <w:rPr>
          <w:rFonts w:cs="Arial"/>
        </w:rPr>
        <w:t xml:space="preserve"> provided</w:t>
      </w:r>
      <w:r w:rsidRPr="00776D3F">
        <w:rPr>
          <w:rFonts w:cs="Arial"/>
        </w:rPr>
        <w:t xml:space="preserve">.  In addition, vulnerable residents </w:t>
      </w:r>
      <w:r w:rsidR="009B2B00">
        <w:rPr>
          <w:rFonts w:cs="Arial"/>
        </w:rPr>
        <w:t xml:space="preserve">have been identified </w:t>
      </w:r>
      <w:r w:rsidRPr="00776D3F">
        <w:rPr>
          <w:rFonts w:cs="Arial"/>
        </w:rPr>
        <w:t xml:space="preserve">so that OFRS know </w:t>
      </w:r>
      <w:r w:rsidR="009B2B00">
        <w:rPr>
          <w:rFonts w:cs="Arial"/>
        </w:rPr>
        <w:t>which</w:t>
      </w:r>
      <w:r w:rsidRPr="00776D3F">
        <w:rPr>
          <w:rFonts w:cs="Arial"/>
        </w:rPr>
        <w:t xml:space="preserve"> flats they might need to evacuate in the event of a fire.  </w:t>
      </w:r>
      <w:r w:rsidR="005A12CB">
        <w:rPr>
          <w:rFonts w:cs="Arial"/>
        </w:rPr>
        <w:t xml:space="preserve">Orders have been placed for </w:t>
      </w:r>
      <w:r w:rsidR="00124798">
        <w:rPr>
          <w:rFonts w:cs="Arial"/>
        </w:rPr>
        <w:t xml:space="preserve">the </w:t>
      </w:r>
      <w:r w:rsidR="005A12CB">
        <w:rPr>
          <w:rFonts w:cs="Arial"/>
        </w:rPr>
        <w:t>i</w:t>
      </w:r>
      <w:r w:rsidRPr="00776D3F">
        <w:rPr>
          <w:rFonts w:cs="Arial"/>
        </w:rPr>
        <w:t>nformation cabinets that</w:t>
      </w:r>
      <w:r w:rsidR="00452887">
        <w:rPr>
          <w:rFonts w:cs="Arial"/>
        </w:rPr>
        <w:t xml:space="preserve"> will</w:t>
      </w:r>
      <w:r w:rsidRPr="00776D3F">
        <w:rPr>
          <w:rFonts w:cs="Arial"/>
        </w:rPr>
        <w:t xml:space="preserve"> contain details of the fire safety system and vulnerable </w:t>
      </w:r>
      <w:r w:rsidR="00124798">
        <w:rPr>
          <w:rFonts w:cs="Arial"/>
        </w:rPr>
        <w:t>residents</w:t>
      </w:r>
      <w:r w:rsidR="00124798" w:rsidRPr="00776D3F">
        <w:rPr>
          <w:rFonts w:cs="Arial"/>
        </w:rPr>
        <w:t xml:space="preserve"> </w:t>
      </w:r>
      <w:r w:rsidRPr="00776D3F">
        <w:rPr>
          <w:rFonts w:cs="Arial"/>
        </w:rPr>
        <w:t>in each block for use by OFRS</w:t>
      </w:r>
      <w:r w:rsidR="000F5D8F">
        <w:rPr>
          <w:rFonts w:cs="Arial"/>
        </w:rPr>
        <w:t>.</w:t>
      </w:r>
    </w:p>
    <w:p w:rsidR="0084214D" w:rsidRPr="00776D3F" w:rsidRDefault="0084214D" w:rsidP="0084214D">
      <w:pPr>
        <w:pStyle w:val="ListParagraph"/>
        <w:ind w:left="502" w:hanging="360"/>
        <w:rPr>
          <w:rFonts w:cs="Arial"/>
        </w:rPr>
      </w:pPr>
      <w:r w:rsidRPr="00776D3F">
        <w:rPr>
          <w:rFonts w:cs="Arial"/>
        </w:rPr>
        <w:t>Following Grenfell</w:t>
      </w:r>
      <w:r w:rsidR="003E4FA1">
        <w:rPr>
          <w:rFonts w:cs="Arial"/>
        </w:rPr>
        <w:t xml:space="preserve"> and the initial meeting with tower block residents </w:t>
      </w:r>
      <w:r w:rsidR="00545A62">
        <w:rPr>
          <w:rFonts w:cs="Arial"/>
        </w:rPr>
        <w:t xml:space="preserve">in May 2017 </w:t>
      </w:r>
      <w:r w:rsidR="003E4FA1">
        <w:rPr>
          <w:rFonts w:cs="Arial"/>
        </w:rPr>
        <w:t>when various concerns were understandably raised</w:t>
      </w:r>
      <w:r w:rsidRPr="00776D3F">
        <w:rPr>
          <w:rFonts w:cs="Arial"/>
        </w:rPr>
        <w:t>, the Council set up and has taken soundings from a new residents’ reference group about the fire safety arrangements in tower blocks</w:t>
      </w:r>
      <w:r w:rsidR="00D56440">
        <w:rPr>
          <w:rFonts w:cs="Arial"/>
        </w:rPr>
        <w:t xml:space="preserve"> and communication about them,</w:t>
      </w:r>
      <w:r w:rsidRPr="00776D3F">
        <w:rPr>
          <w:rFonts w:cs="Arial"/>
        </w:rPr>
        <w:t xml:space="preserve"> and what more the Council could do to reassure residents</w:t>
      </w:r>
      <w:r w:rsidR="009B2B00">
        <w:rPr>
          <w:rFonts w:cs="Arial"/>
        </w:rPr>
        <w:t>.</w:t>
      </w:r>
      <w:r w:rsidR="00D56440">
        <w:rPr>
          <w:rFonts w:cs="Arial"/>
        </w:rPr>
        <w:t xml:space="preserve">  </w:t>
      </w:r>
    </w:p>
    <w:p w:rsidR="00545A62" w:rsidRDefault="00545A62" w:rsidP="005C4DE0">
      <w:pPr>
        <w:pStyle w:val="ListParagraph"/>
        <w:rPr>
          <w:rFonts w:cs="Arial"/>
        </w:rPr>
      </w:pPr>
      <w:r>
        <w:rPr>
          <w:rFonts w:cs="Arial"/>
        </w:rPr>
        <w:t>Since the meeting in May t</w:t>
      </w:r>
      <w:r w:rsidR="0084214D" w:rsidRPr="00776D3F">
        <w:rPr>
          <w:rFonts w:cs="Arial"/>
        </w:rPr>
        <w:t xml:space="preserve">he Council </w:t>
      </w:r>
      <w:r>
        <w:rPr>
          <w:rFonts w:cs="Arial"/>
        </w:rPr>
        <w:t>has:</w:t>
      </w:r>
    </w:p>
    <w:p w:rsidR="0084214D" w:rsidRPr="00FA16D2" w:rsidRDefault="00545A62" w:rsidP="00124798">
      <w:pPr>
        <w:pStyle w:val="ListParagraph"/>
        <w:numPr>
          <w:ilvl w:val="0"/>
          <w:numId w:val="48"/>
        </w:numPr>
        <w:rPr>
          <w:rFonts w:cs="Arial"/>
        </w:rPr>
      </w:pPr>
      <w:r w:rsidRPr="00FA16D2">
        <w:rPr>
          <w:rFonts w:cs="Arial"/>
        </w:rPr>
        <w:t xml:space="preserve">Hand </w:t>
      </w:r>
      <w:r w:rsidR="0084214D" w:rsidRPr="00FA16D2">
        <w:rPr>
          <w:rFonts w:cs="Arial"/>
        </w:rPr>
        <w:t>delivered letters notifying residents about evacuation procedures (14 June) and the alarm system and fire strategy (19 June).</w:t>
      </w:r>
    </w:p>
    <w:p w:rsidR="0084214D" w:rsidRPr="004514A4" w:rsidRDefault="00545A62" w:rsidP="00124798">
      <w:pPr>
        <w:pStyle w:val="ListParagraph"/>
        <w:numPr>
          <w:ilvl w:val="0"/>
          <w:numId w:val="48"/>
        </w:numPr>
        <w:rPr>
          <w:rFonts w:cs="Arial"/>
        </w:rPr>
      </w:pPr>
      <w:r w:rsidRPr="00FA16D2">
        <w:rPr>
          <w:rFonts w:cs="Arial"/>
        </w:rPr>
        <w:lastRenderedPageBreak/>
        <w:t xml:space="preserve">Produced and distributed new </w:t>
      </w:r>
      <w:r w:rsidR="0084214D" w:rsidRPr="00FA16D2">
        <w:rPr>
          <w:rFonts w:cs="Arial"/>
        </w:rPr>
        <w:t>evacuation leaflets for all five towers</w:t>
      </w:r>
      <w:r w:rsidR="0084214D" w:rsidRPr="004514A4">
        <w:rPr>
          <w:rFonts w:cs="Arial"/>
        </w:rPr>
        <w:t>.</w:t>
      </w:r>
    </w:p>
    <w:p w:rsidR="0084214D" w:rsidRDefault="00545A62" w:rsidP="00124798">
      <w:pPr>
        <w:pStyle w:val="ListParagraph"/>
        <w:numPr>
          <w:ilvl w:val="0"/>
          <w:numId w:val="48"/>
        </w:numPr>
        <w:rPr>
          <w:rFonts w:cs="Arial"/>
        </w:rPr>
      </w:pPr>
      <w:r w:rsidRPr="00D90242">
        <w:rPr>
          <w:rFonts w:cs="Arial"/>
        </w:rPr>
        <w:t>Held a</w:t>
      </w:r>
      <w:r w:rsidR="0084214D" w:rsidRPr="00D90242">
        <w:rPr>
          <w:rFonts w:cs="Arial"/>
        </w:rPr>
        <w:t xml:space="preserve"> fire test on 2 August</w:t>
      </w:r>
      <w:r w:rsidRPr="00D90242">
        <w:rPr>
          <w:rFonts w:cs="Arial"/>
        </w:rPr>
        <w:t>, which</w:t>
      </w:r>
      <w:r w:rsidR="0084214D" w:rsidRPr="00452887">
        <w:rPr>
          <w:rFonts w:cs="Arial"/>
        </w:rPr>
        <w:t xml:space="preserve"> involved some residents.</w:t>
      </w:r>
    </w:p>
    <w:p w:rsidR="00254272" w:rsidRDefault="00FA16D2" w:rsidP="00124798">
      <w:pPr>
        <w:pStyle w:val="ListParagraph"/>
        <w:numPr>
          <w:ilvl w:val="0"/>
          <w:numId w:val="48"/>
        </w:numPr>
        <w:rPr>
          <w:rFonts w:cs="Arial"/>
        </w:rPr>
      </w:pPr>
      <w:r>
        <w:rPr>
          <w:rFonts w:cs="Arial"/>
        </w:rPr>
        <w:t>P</w:t>
      </w:r>
      <w:r w:rsidR="00545A62" w:rsidRPr="00FA16D2">
        <w:rPr>
          <w:rFonts w:cs="Arial"/>
        </w:rPr>
        <w:t>roduced and distributed s</w:t>
      </w:r>
      <w:r w:rsidR="0084214D" w:rsidRPr="00FA16D2">
        <w:rPr>
          <w:rFonts w:cs="Arial"/>
        </w:rPr>
        <w:t xml:space="preserve">pecial Fire Editions of </w:t>
      </w:r>
      <w:r w:rsidR="007B2409" w:rsidRPr="00FA16D2">
        <w:rPr>
          <w:rFonts w:cs="Arial"/>
        </w:rPr>
        <w:t xml:space="preserve">the </w:t>
      </w:r>
      <w:r w:rsidR="0084214D" w:rsidRPr="00FA16D2">
        <w:rPr>
          <w:rFonts w:cs="Arial"/>
        </w:rPr>
        <w:t xml:space="preserve">Tenants in Touch </w:t>
      </w:r>
      <w:r w:rsidR="007B2409" w:rsidRPr="004514A4">
        <w:rPr>
          <w:rFonts w:cs="Arial"/>
        </w:rPr>
        <w:t xml:space="preserve">newsletter </w:t>
      </w:r>
      <w:r w:rsidR="0084214D" w:rsidRPr="004514A4">
        <w:rPr>
          <w:rFonts w:cs="Arial"/>
        </w:rPr>
        <w:t xml:space="preserve">for </w:t>
      </w:r>
      <w:proofErr w:type="spellStart"/>
      <w:r w:rsidR="0084214D" w:rsidRPr="004514A4">
        <w:rPr>
          <w:rFonts w:cs="Arial"/>
        </w:rPr>
        <w:t>Evenlode</w:t>
      </w:r>
      <w:proofErr w:type="spellEnd"/>
      <w:r w:rsidR="0084214D" w:rsidRPr="004514A4">
        <w:rPr>
          <w:rFonts w:cs="Arial"/>
        </w:rPr>
        <w:t xml:space="preserve"> and </w:t>
      </w:r>
      <w:proofErr w:type="spellStart"/>
      <w:r w:rsidR="0084214D" w:rsidRPr="004514A4">
        <w:rPr>
          <w:rFonts w:cs="Arial"/>
        </w:rPr>
        <w:t>Windrush</w:t>
      </w:r>
      <w:proofErr w:type="spellEnd"/>
      <w:r w:rsidR="0084214D" w:rsidRPr="004514A4">
        <w:rPr>
          <w:rFonts w:cs="Arial"/>
        </w:rPr>
        <w:t xml:space="preserve">, </w:t>
      </w:r>
      <w:proofErr w:type="spellStart"/>
      <w:r w:rsidR="0084214D" w:rsidRPr="004514A4">
        <w:rPr>
          <w:rFonts w:cs="Arial"/>
        </w:rPr>
        <w:t>Plowman</w:t>
      </w:r>
      <w:proofErr w:type="spellEnd"/>
      <w:r w:rsidR="0084214D" w:rsidRPr="004514A4">
        <w:rPr>
          <w:rFonts w:cs="Arial"/>
        </w:rPr>
        <w:t xml:space="preserve">, and Foresters </w:t>
      </w:r>
      <w:r w:rsidR="005A12CB" w:rsidRPr="00D90242">
        <w:rPr>
          <w:rFonts w:cs="Arial"/>
        </w:rPr>
        <w:t>to all residents in those blocks</w:t>
      </w:r>
      <w:r w:rsidR="007B2409" w:rsidRPr="00D90242">
        <w:rPr>
          <w:rFonts w:cs="Arial"/>
        </w:rPr>
        <w:t xml:space="preserve"> in August.</w:t>
      </w:r>
      <w:r w:rsidR="0084214D" w:rsidRPr="00D90242">
        <w:rPr>
          <w:rFonts w:cs="Arial"/>
        </w:rPr>
        <w:t xml:space="preserve">  Information on home insurance and fire safety books for children were distributed at the same time</w:t>
      </w:r>
      <w:r w:rsidR="0084214D" w:rsidRPr="00FA16D2">
        <w:rPr>
          <w:rFonts w:cs="Arial"/>
        </w:rPr>
        <w:t xml:space="preserve">.  </w:t>
      </w:r>
    </w:p>
    <w:p w:rsidR="00520A80" w:rsidRPr="004514A4" w:rsidRDefault="004514A4" w:rsidP="00124798">
      <w:pPr>
        <w:pStyle w:val="ListParagraph"/>
        <w:numPr>
          <w:ilvl w:val="0"/>
          <w:numId w:val="48"/>
        </w:numPr>
        <w:rPr>
          <w:rFonts w:cs="Arial"/>
        </w:rPr>
      </w:pPr>
      <w:r>
        <w:rPr>
          <w:rFonts w:cs="Arial"/>
        </w:rPr>
        <w:t>Inclu</w:t>
      </w:r>
      <w:r w:rsidRPr="004514A4">
        <w:rPr>
          <w:rFonts w:cs="Arial"/>
        </w:rPr>
        <w:t xml:space="preserve">ded </w:t>
      </w:r>
      <w:r w:rsidR="00E77FBC" w:rsidRPr="004514A4">
        <w:rPr>
          <w:rFonts w:cs="Arial"/>
        </w:rPr>
        <w:t>a large section on</w:t>
      </w:r>
      <w:r w:rsidR="0084214D" w:rsidRPr="00D90242">
        <w:rPr>
          <w:rFonts w:cs="Arial"/>
        </w:rPr>
        <w:t xml:space="preserve"> fire safety information</w:t>
      </w:r>
      <w:r w:rsidR="00E77FBC" w:rsidRPr="00D90242">
        <w:rPr>
          <w:rFonts w:cs="Arial"/>
        </w:rPr>
        <w:t xml:space="preserve"> and an update on the tower block refurbishment programm</w:t>
      </w:r>
      <w:r>
        <w:rPr>
          <w:rFonts w:cs="Arial"/>
        </w:rPr>
        <w:t>e in t</w:t>
      </w:r>
      <w:r w:rsidRPr="00FA16D2">
        <w:rPr>
          <w:rFonts w:cs="Arial"/>
        </w:rPr>
        <w:t>he latest (autumn) edition of Tenants in Touch</w:t>
      </w:r>
      <w:r w:rsidR="0037004A">
        <w:rPr>
          <w:rFonts w:cs="Arial"/>
        </w:rPr>
        <w:t>.</w:t>
      </w:r>
      <w:r w:rsidRPr="00FA16D2">
        <w:rPr>
          <w:rFonts w:cs="Arial"/>
        </w:rPr>
        <w:t xml:space="preserve"> </w:t>
      </w:r>
    </w:p>
    <w:p w:rsidR="00F7648F" w:rsidRDefault="00F7648F" w:rsidP="00F7648F">
      <w:pPr>
        <w:rPr>
          <w:rFonts w:cs="Arial"/>
        </w:rPr>
      </w:pPr>
    </w:p>
    <w:p w:rsidR="0037004A" w:rsidRDefault="00401E63" w:rsidP="00124798">
      <w:pPr>
        <w:rPr>
          <w:rFonts w:cs="Arial"/>
          <w:b/>
        </w:rPr>
      </w:pPr>
      <w:r>
        <w:rPr>
          <w:rFonts w:cs="Arial"/>
          <w:b/>
        </w:rPr>
        <w:t>Conclusions</w:t>
      </w:r>
    </w:p>
    <w:p w:rsidR="00401E63" w:rsidRPr="0037004A" w:rsidRDefault="00401E63" w:rsidP="0037004A">
      <w:pPr>
        <w:pStyle w:val="ListParagraph"/>
        <w:tabs>
          <w:tab w:val="clear" w:pos="426"/>
          <w:tab w:val="left" w:pos="567"/>
        </w:tabs>
        <w:ind w:left="502" w:hanging="502"/>
        <w:rPr>
          <w:rFonts w:cs="Arial"/>
          <w:b/>
        </w:rPr>
      </w:pPr>
      <w:r w:rsidRPr="0037004A">
        <w:rPr>
          <w:rFonts w:cs="Arial"/>
        </w:rPr>
        <w:t xml:space="preserve">As a result of the review a number of learning points </w:t>
      </w:r>
      <w:r w:rsidR="00E77FBC" w:rsidRPr="0037004A">
        <w:rPr>
          <w:rFonts w:cs="Arial"/>
        </w:rPr>
        <w:t>have been</w:t>
      </w:r>
      <w:r w:rsidRPr="0037004A">
        <w:rPr>
          <w:rFonts w:cs="Arial"/>
        </w:rPr>
        <w:t xml:space="preserve"> identified.</w:t>
      </w:r>
    </w:p>
    <w:p w:rsidR="00401E63" w:rsidRPr="0037004A" w:rsidRDefault="00FA16D2" w:rsidP="0037004A">
      <w:pPr>
        <w:pStyle w:val="ListParagraph"/>
        <w:ind w:left="502" w:hanging="502"/>
        <w:rPr>
          <w:rFonts w:cs="Arial"/>
        </w:rPr>
      </w:pPr>
      <w:r w:rsidRPr="0037004A">
        <w:rPr>
          <w:rFonts w:cs="Arial"/>
        </w:rPr>
        <w:t xml:space="preserve"> </w:t>
      </w:r>
      <w:r w:rsidR="00401E63" w:rsidRPr="0037004A">
        <w:rPr>
          <w:rFonts w:cs="Arial"/>
        </w:rPr>
        <w:t xml:space="preserve">The following </w:t>
      </w:r>
      <w:r w:rsidR="00926F56" w:rsidRPr="0037004A">
        <w:rPr>
          <w:rFonts w:cs="Arial"/>
        </w:rPr>
        <w:t>are deemed</w:t>
      </w:r>
      <w:r w:rsidR="00401E63" w:rsidRPr="0037004A">
        <w:rPr>
          <w:rFonts w:cs="Arial"/>
        </w:rPr>
        <w:t xml:space="preserve"> to be good practice and </w:t>
      </w:r>
      <w:r w:rsidR="003E4FA1" w:rsidRPr="0037004A">
        <w:rPr>
          <w:rFonts w:cs="Arial"/>
        </w:rPr>
        <w:t xml:space="preserve">have been or </w:t>
      </w:r>
      <w:r w:rsidR="00401E63" w:rsidRPr="0037004A">
        <w:rPr>
          <w:rFonts w:cs="Arial"/>
        </w:rPr>
        <w:t>will be adopted:</w:t>
      </w:r>
    </w:p>
    <w:p w:rsidR="00926F56" w:rsidRDefault="005854C6" w:rsidP="005854C6">
      <w:pPr>
        <w:pStyle w:val="ListParagraph"/>
        <w:numPr>
          <w:ilvl w:val="0"/>
          <w:numId w:val="43"/>
        </w:numPr>
        <w:rPr>
          <w:rFonts w:cs="Arial"/>
        </w:rPr>
      </w:pPr>
      <w:r>
        <w:rPr>
          <w:rFonts w:cs="Arial"/>
        </w:rPr>
        <w:t>Lessons learnt from failings elsewhere (e.g. Grenfell) should be built into project specifications from an early stage</w:t>
      </w:r>
      <w:r w:rsidR="007B2409">
        <w:rPr>
          <w:rFonts w:cs="Arial"/>
        </w:rPr>
        <w:t>.</w:t>
      </w:r>
    </w:p>
    <w:p w:rsidR="0020264F" w:rsidRPr="00F83832" w:rsidRDefault="0020264F" w:rsidP="005854C6">
      <w:pPr>
        <w:pStyle w:val="ListParagraph"/>
        <w:numPr>
          <w:ilvl w:val="0"/>
          <w:numId w:val="43"/>
        </w:numPr>
        <w:rPr>
          <w:rFonts w:cs="Arial"/>
        </w:rPr>
      </w:pPr>
      <w:r w:rsidRPr="00F83832">
        <w:t>Non-combustible materials should be used for all refurbishment projects in respect of the Council’s flat blocks</w:t>
      </w:r>
      <w:r w:rsidR="007B2409">
        <w:t>.</w:t>
      </w:r>
    </w:p>
    <w:p w:rsidR="00926F56" w:rsidRPr="00F83832" w:rsidRDefault="00926F56" w:rsidP="005854C6">
      <w:pPr>
        <w:pStyle w:val="ListParagraph"/>
        <w:numPr>
          <w:ilvl w:val="0"/>
          <w:numId w:val="43"/>
        </w:numPr>
        <w:rPr>
          <w:rFonts w:cs="Arial"/>
        </w:rPr>
      </w:pPr>
      <w:r w:rsidRPr="00F83832">
        <w:t>The governance structure comprising a</w:t>
      </w:r>
      <w:r w:rsidR="003E4FA1">
        <w:t xml:space="preserve">n external </w:t>
      </w:r>
      <w:r w:rsidRPr="00F83832">
        <w:t>Project Manager</w:t>
      </w:r>
      <w:r w:rsidR="003E4FA1">
        <w:t xml:space="preserve"> and design team</w:t>
      </w:r>
      <w:r w:rsidRPr="00F83832">
        <w:t xml:space="preserve">, </w:t>
      </w:r>
      <w:r w:rsidR="003E4FA1">
        <w:t xml:space="preserve">an internal </w:t>
      </w:r>
      <w:r w:rsidRPr="00F83832">
        <w:t>Client Manager,</w:t>
      </w:r>
      <w:r w:rsidR="003E4FA1">
        <w:t xml:space="preserve"> and a</w:t>
      </w:r>
      <w:r w:rsidRPr="00F83832">
        <w:t xml:space="preserve"> Project Board and Project Team</w:t>
      </w:r>
      <w:r w:rsidR="00E821AC">
        <w:t>,</w:t>
      </w:r>
      <w:r w:rsidRPr="00F83832">
        <w:t xml:space="preserve"> etc.</w:t>
      </w:r>
      <w:r w:rsidR="003E4FA1">
        <w:t xml:space="preserve">, comprising both external and internal representatives </w:t>
      </w:r>
      <w:r w:rsidRPr="00F83832">
        <w:t>should be considered for future major projects</w:t>
      </w:r>
      <w:r w:rsidR="007B2409">
        <w:t>.</w:t>
      </w:r>
    </w:p>
    <w:p w:rsidR="00926F56" w:rsidRPr="00F83832" w:rsidRDefault="00926F56" w:rsidP="00926F56">
      <w:pPr>
        <w:pStyle w:val="ListParagraph"/>
        <w:numPr>
          <w:ilvl w:val="0"/>
          <w:numId w:val="43"/>
        </w:numPr>
      </w:pPr>
      <w:r w:rsidRPr="00F83832">
        <w:t>Contractors’ obligations to provide information to Building Control under a ‘</w:t>
      </w:r>
      <w:r w:rsidR="00375466">
        <w:t>F</w:t>
      </w:r>
      <w:r w:rsidR="00375466" w:rsidRPr="00F83832">
        <w:t xml:space="preserve">ull </w:t>
      </w:r>
      <w:r w:rsidR="00375466">
        <w:t>P</w:t>
      </w:r>
      <w:r w:rsidRPr="00F83832">
        <w:t>lans’ application should be made clear to them from the outset.</w:t>
      </w:r>
      <w:r w:rsidR="00375466">
        <w:t xml:space="preserve">  This would be via Building Control Conditional Approval.</w:t>
      </w:r>
    </w:p>
    <w:p w:rsidR="00401E63" w:rsidRPr="00F83832" w:rsidRDefault="00926F56" w:rsidP="005854C6">
      <w:pPr>
        <w:pStyle w:val="ListParagraph"/>
        <w:numPr>
          <w:ilvl w:val="0"/>
          <w:numId w:val="43"/>
        </w:numPr>
        <w:rPr>
          <w:rFonts w:cs="Arial"/>
        </w:rPr>
      </w:pPr>
      <w:r w:rsidRPr="00F83832">
        <w:t>Final approval of the completed works should involve a comprehensive inspection by a range of Council stakeholders such as Building Control and Housing Services, as well as the Fire and Rescue Service</w:t>
      </w:r>
      <w:r w:rsidR="007B2409">
        <w:rPr>
          <w:rFonts w:cs="Arial"/>
        </w:rPr>
        <w:t>.</w:t>
      </w:r>
    </w:p>
    <w:p w:rsidR="00834289" w:rsidRPr="00E12E71" w:rsidRDefault="00834289" w:rsidP="005854C6">
      <w:pPr>
        <w:pStyle w:val="ListParagraph"/>
        <w:numPr>
          <w:ilvl w:val="0"/>
          <w:numId w:val="43"/>
        </w:numPr>
        <w:rPr>
          <w:rFonts w:cs="Arial"/>
        </w:rPr>
      </w:pPr>
      <w:r w:rsidRPr="00F83832">
        <w:t>Whilst there was significant engagement with residents in the tower blocks</w:t>
      </w:r>
      <w:r w:rsidR="0020264F" w:rsidRPr="00F83832">
        <w:t xml:space="preserve"> </w:t>
      </w:r>
      <w:r w:rsidRPr="00F83832">
        <w:t>with regard to the fire safety arrangements,</w:t>
      </w:r>
      <w:r w:rsidR="0020264F" w:rsidRPr="00F83832">
        <w:t xml:space="preserve"> post Grenfell, </w:t>
      </w:r>
      <w:r w:rsidRPr="00F83832">
        <w:t>because of resident turnover, this should be a continuing process to make sure that all residents are aware of those arrangements and it should be extended to all Council-owned blocks of flats</w:t>
      </w:r>
      <w:r w:rsidR="007B2409">
        <w:t>.</w:t>
      </w:r>
    </w:p>
    <w:p w:rsidR="00E12E71" w:rsidRPr="00F83832" w:rsidRDefault="00E12E71" w:rsidP="005854C6">
      <w:pPr>
        <w:pStyle w:val="ListParagraph"/>
        <w:numPr>
          <w:ilvl w:val="0"/>
          <w:numId w:val="43"/>
        </w:numPr>
        <w:rPr>
          <w:rFonts w:cs="Arial"/>
        </w:rPr>
      </w:pPr>
      <w:r>
        <w:t xml:space="preserve">A streamlined process for </w:t>
      </w:r>
      <w:r w:rsidR="001435FD">
        <w:t>fire risk assessments has been implemented across all blocks</w:t>
      </w:r>
    </w:p>
    <w:p w:rsidR="00401E63" w:rsidRPr="00FA16D2" w:rsidRDefault="0037004A" w:rsidP="00124798">
      <w:pPr>
        <w:ind w:left="142"/>
        <w:rPr>
          <w:rFonts w:cs="Arial"/>
        </w:rPr>
      </w:pPr>
      <w:r>
        <w:rPr>
          <w:rFonts w:cs="Arial"/>
        </w:rPr>
        <w:t>41</w:t>
      </w:r>
      <w:r w:rsidR="00FA16D2">
        <w:rPr>
          <w:rFonts w:cs="Arial"/>
        </w:rPr>
        <w:t xml:space="preserve">.  </w:t>
      </w:r>
      <w:r w:rsidR="00926F56" w:rsidRPr="00FA16D2">
        <w:rPr>
          <w:rFonts w:cs="Arial"/>
        </w:rPr>
        <w:t xml:space="preserve">The following should be the subject of further </w:t>
      </w:r>
      <w:r w:rsidR="00B3522C" w:rsidRPr="00FA16D2">
        <w:rPr>
          <w:rFonts w:cs="Arial"/>
        </w:rPr>
        <w:t>reflection</w:t>
      </w:r>
      <w:r w:rsidR="00926F56" w:rsidRPr="00FA16D2">
        <w:rPr>
          <w:rFonts w:cs="Arial"/>
        </w:rPr>
        <w:t>:</w:t>
      </w:r>
    </w:p>
    <w:p w:rsidR="00B3522C" w:rsidRPr="00F83832" w:rsidRDefault="00B3522C" w:rsidP="00B3522C">
      <w:pPr>
        <w:pStyle w:val="ListParagraph"/>
        <w:numPr>
          <w:ilvl w:val="0"/>
          <w:numId w:val="46"/>
        </w:numPr>
        <w:rPr>
          <w:rFonts w:cs="Arial"/>
        </w:rPr>
      </w:pPr>
      <w:r w:rsidRPr="00F83832">
        <w:rPr>
          <w:rFonts w:cs="Arial"/>
        </w:rPr>
        <w:t xml:space="preserve">Design and build contracts </w:t>
      </w:r>
      <w:r w:rsidRPr="00F83832">
        <w:t>should be considered for future major projects as an effective means of delivering the Council’s intended outcomes while minimising risk</w:t>
      </w:r>
      <w:r w:rsidR="007B2409">
        <w:t>.</w:t>
      </w:r>
    </w:p>
    <w:p w:rsidR="00B3522C" w:rsidRPr="00F83832" w:rsidRDefault="004364E5" w:rsidP="00B3522C">
      <w:pPr>
        <w:pStyle w:val="ListParagraph"/>
        <w:numPr>
          <w:ilvl w:val="0"/>
          <w:numId w:val="46"/>
        </w:numPr>
        <w:rPr>
          <w:rFonts w:cs="Arial"/>
        </w:rPr>
      </w:pPr>
      <w:r>
        <w:t>O</w:t>
      </w:r>
      <w:r w:rsidR="00D21547">
        <w:t xml:space="preserve">nly </w:t>
      </w:r>
      <w:r w:rsidR="00B3522C" w:rsidRPr="00F83832">
        <w:t xml:space="preserve">non-combustible materials </w:t>
      </w:r>
      <w:r>
        <w:t xml:space="preserve">should be specified </w:t>
      </w:r>
      <w:r w:rsidR="00B3522C" w:rsidRPr="00F83832">
        <w:t>on the exteriors of Council-owned</w:t>
      </w:r>
      <w:r w:rsidR="00E821AC">
        <w:t xml:space="preserve"> properties</w:t>
      </w:r>
      <w:r w:rsidR="00B3522C" w:rsidRPr="00F83832">
        <w:t xml:space="preserve"> in the future</w:t>
      </w:r>
      <w:r w:rsidR="007B2409">
        <w:t>.</w:t>
      </w:r>
    </w:p>
    <w:p w:rsidR="00B3522C" w:rsidRPr="00F83832" w:rsidRDefault="00B3522C" w:rsidP="00B3522C">
      <w:pPr>
        <w:pStyle w:val="ListParagraph"/>
        <w:numPr>
          <w:ilvl w:val="0"/>
          <w:numId w:val="46"/>
        </w:numPr>
        <w:rPr>
          <w:rFonts w:cs="Arial"/>
        </w:rPr>
      </w:pPr>
      <w:r w:rsidRPr="00F83832">
        <w:t xml:space="preserve">Consideration should be given to </w:t>
      </w:r>
      <w:r w:rsidR="001435FD">
        <w:t>any new proposals for strengthening the fire risk assessment process and implementing them, as appropriate</w:t>
      </w:r>
      <w:r w:rsidR="007B2409">
        <w:t>.</w:t>
      </w:r>
    </w:p>
    <w:p w:rsidR="006C17F2" w:rsidRPr="00776D3F" w:rsidRDefault="006C17F2" w:rsidP="006C17F2">
      <w:pPr>
        <w:pStyle w:val="ListParagraph"/>
        <w:numPr>
          <w:ilvl w:val="0"/>
          <w:numId w:val="0"/>
        </w:numPr>
        <w:ind w:left="-426"/>
        <w:rPr>
          <w:rFonts w:cs="Arial"/>
          <w:b/>
        </w:rPr>
      </w:pPr>
      <w:r w:rsidRPr="00776D3F">
        <w:rPr>
          <w:rFonts w:cs="Arial"/>
          <w:b/>
        </w:rPr>
        <w:lastRenderedPageBreak/>
        <w:t xml:space="preserve">  </w:t>
      </w:r>
      <w:bookmarkStart w:id="0" w:name="_GoBack"/>
      <w:bookmarkEnd w:id="0"/>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rsidR="00E87F7A" w:rsidRPr="001356F1" w:rsidRDefault="0020264F" w:rsidP="00A46E98">
            <w:r>
              <w:t xml:space="preserve">Michael </w:t>
            </w:r>
            <w:r w:rsidR="00594721">
              <w:t xml:space="preserve">Newman / </w:t>
            </w:r>
            <w:r>
              <w:t>Andrew Brown</w:t>
            </w:r>
          </w:p>
        </w:tc>
      </w:tr>
      <w:tr w:rsidR="00DF093E" w:rsidRPr="001356F1" w:rsidTr="00A46E98">
        <w:trPr>
          <w:cantSplit/>
          <w:trHeight w:val="396"/>
        </w:trPr>
        <w:tc>
          <w:tcPr>
            <w:tcW w:w="3969" w:type="dxa"/>
            <w:tcBorders>
              <w:top w:val="single" w:sz="8" w:space="0" w:color="000000"/>
              <w:left w:val="single" w:sz="8" w:space="0" w:color="000000"/>
              <w:bottom w:val="nil"/>
              <w:right w:val="nil"/>
            </w:tcBorders>
            <w:shd w:val="clear" w:color="auto" w:fill="auto"/>
          </w:tcPr>
          <w:p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rsidR="00E87F7A" w:rsidRPr="001356F1" w:rsidRDefault="0020264F" w:rsidP="00A46E98">
            <w:r>
              <w:t>Corporate Affairs Lead</w:t>
            </w:r>
            <w:r w:rsidR="00594721">
              <w:t xml:space="preserve"> </w:t>
            </w:r>
            <w:r>
              <w:t>/</w:t>
            </w:r>
            <w:r w:rsidR="00962712">
              <w:t xml:space="preserve"> Committee and Member</w:t>
            </w:r>
            <w:r w:rsidR="00594721">
              <w:t xml:space="preserve"> Services Manager</w:t>
            </w:r>
          </w:p>
        </w:tc>
      </w:tr>
      <w:tr w:rsidR="00DF093E" w:rsidRPr="001356F1" w:rsidTr="00A46E98">
        <w:trPr>
          <w:cantSplit/>
          <w:trHeight w:val="396"/>
        </w:trPr>
        <w:tc>
          <w:tcPr>
            <w:tcW w:w="3969" w:type="dxa"/>
            <w:tcBorders>
              <w:top w:val="nil"/>
              <w:left w:val="single" w:sz="8" w:space="0" w:color="000000"/>
              <w:bottom w:val="nil"/>
              <w:right w:val="nil"/>
            </w:tcBorders>
            <w:shd w:val="clear" w:color="auto" w:fill="auto"/>
          </w:tcPr>
          <w:p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rsidR="00E87F7A" w:rsidRPr="001356F1" w:rsidRDefault="0020264F" w:rsidP="00A46E98">
            <w:r>
              <w:t>Law and Governance</w:t>
            </w:r>
          </w:p>
        </w:tc>
      </w:tr>
      <w:tr w:rsidR="00DF093E" w:rsidRPr="001356F1" w:rsidTr="00A46E98">
        <w:trPr>
          <w:cantSplit/>
          <w:trHeight w:val="396"/>
        </w:trPr>
        <w:tc>
          <w:tcPr>
            <w:tcW w:w="3969" w:type="dxa"/>
            <w:tcBorders>
              <w:top w:val="nil"/>
              <w:left w:val="single" w:sz="8" w:space="0" w:color="000000"/>
              <w:bottom w:val="nil"/>
              <w:right w:val="nil"/>
            </w:tcBorders>
            <w:shd w:val="clear" w:color="auto" w:fill="auto"/>
          </w:tcPr>
          <w:p w:rsidR="00E87F7A" w:rsidRPr="001356F1" w:rsidRDefault="00E87F7A" w:rsidP="00A46E98">
            <w:r w:rsidRPr="001356F1">
              <w:t xml:space="preserve">Telephone </w:t>
            </w:r>
          </w:p>
        </w:tc>
        <w:tc>
          <w:tcPr>
            <w:tcW w:w="4962" w:type="dxa"/>
            <w:tcBorders>
              <w:top w:val="nil"/>
              <w:left w:val="nil"/>
              <w:bottom w:val="nil"/>
              <w:right w:val="single" w:sz="8" w:space="0" w:color="000000"/>
            </w:tcBorders>
            <w:shd w:val="clear" w:color="auto" w:fill="auto"/>
          </w:tcPr>
          <w:p w:rsidR="00E87F7A" w:rsidRPr="001356F1" w:rsidRDefault="00E87F7A" w:rsidP="0020264F">
            <w:r w:rsidRPr="001356F1">
              <w:t xml:space="preserve">01865 </w:t>
            </w:r>
            <w:r w:rsidR="0020264F">
              <w:t>252140 / 01865 252</w:t>
            </w:r>
            <w:r w:rsidR="00594721">
              <w:t>230</w:t>
            </w:r>
            <w:r w:rsidRPr="001356F1">
              <w:t xml:space="preserve">  </w:t>
            </w:r>
          </w:p>
        </w:tc>
      </w:tr>
      <w:tr w:rsidR="005570B5" w:rsidRPr="001356F1" w:rsidTr="00A46E98">
        <w:trPr>
          <w:cantSplit/>
          <w:trHeight w:val="396"/>
        </w:trPr>
        <w:tc>
          <w:tcPr>
            <w:tcW w:w="3969" w:type="dxa"/>
            <w:tcBorders>
              <w:top w:val="nil"/>
              <w:left w:val="single" w:sz="8" w:space="0" w:color="000000"/>
              <w:bottom w:val="single" w:sz="8" w:space="0" w:color="000000"/>
              <w:right w:val="nil"/>
            </w:tcBorders>
            <w:shd w:val="clear" w:color="auto" w:fill="auto"/>
          </w:tcPr>
          <w:p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rsidR="00E87F7A" w:rsidRDefault="00DE6E33" w:rsidP="00A46E98">
            <w:pPr>
              <w:rPr>
                <w:rStyle w:val="Hyperlink"/>
                <w:color w:val="000000"/>
              </w:rPr>
            </w:pPr>
            <w:hyperlink r:id="rId9" w:history="1">
              <w:r w:rsidR="0020264F" w:rsidRPr="00D50994">
                <w:rPr>
                  <w:rStyle w:val="Hyperlink"/>
                </w:rPr>
                <w:t>mnewman@oxford.gov.uk</w:t>
              </w:r>
            </w:hyperlink>
          </w:p>
          <w:p w:rsidR="00594721" w:rsidRPr="001356F1" w:rsidRDefault="00DE6E33" w:rsidP="00594721">
            <w:pPr>
              <w:rPr>
                <w:rStyle w:val="Hyperlink"/>
                <w:color w:val="000000"/>
              </w:rPr>
            </w:pPr>
            <w:hyperlink r:id="rId10" w:history="1">
              <w:r w:rsidR="00594721" w:rsidRPr="000D3D20">
                <w:rPr>
                  <w:rStyle w:val="Hyperlink"/>
                </w:rPr>
                <w:t>abrown2@oxford.gov.uk</w:t>
              </w:r>
            </w:hyperlink>
          </w:p>
        </w:tc>
      </w:tr>
    </w:tbl>
    <w:p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8141"/>
      </w:tblGrid>
      <w:tr w:rsidR="00DF093E" w:rsidRPr="001356F1" w:rsidTr="00E821AC">
        <w:tc>
          <w:tcPr>
            <w:tcW w:w="8931" w:type="dxa"/>
            <w:gridSpan w:val="2"/>
            <w:tcBorders>
              <w:top w:val="single" w:sz="4" w:space="0" w:color="auto"/>
              <w:left w:val="single" w:sz="4" w:space="0" w:color="auto"/>
              <w:bottom w:val="single" w:sz="8" w:space="0" w:color="000000"/>
              <w:right w:val="single" w:sz="4" w:space="0" w:color="auto"/>
            </w:tcBorders>
            <w:shd w:val="clear" w:color="auto" w:fill="auto"/>
          </w:tcPr>
          <w:p w:rsidR="0093067A" w:rsidRPr="001356F1" w:rsidRDefault="00182B81" w:rsidP="00E821AC">
            <w:r w:rsidRPr="001356F1">
              <w:rPr>
                <w:rStyle w:val="Firstpagetablebold"/>
              </w:rPr>
              <w:t xml:space="preserve">Background Papers: </w:t>
            </w:r>
          </w:p>
        </w:tc>
      </w:tr>
      <w:tr w:rsidR="005570B5" w:rsidRPr="00A46E98" w:rsidTr="00E821AC">
        <w:tc>
          <w:tcPr>
            <w:tcW w:w="790" w:type="dxa"/>
            <w:tcBorders>
              <w:top w:val="nil"/>
              <w:left w:val="single" w:sz="8" w:space="0" w:color="000000"/>
              <w:bottom w:val="single" w:sz="8" w:space="0" w:color="000000"/>
              <w:right w:val="nil"/>
            </w:tcBorders>
            <w:shd w:val="clear" w:color="auto" w:fill="auto"/>
          </w:tcPr>
          <w:p w:rsidR="0093067A" w:rsidRPr="00A46E98" w:rsidRDefault="00E821AC" w:rsidP="00F41AC1">
            <w:r>
              <w:t>None</w:t>
            </w:r>
          </w:p>
        </w:tc>
        <w:tc>
          <w:tcPr>
            <w:tcW w:w="8141" w:type="dxa"/>
            <w:tcBorders>
              <w:top w:val="nil"/>
              <w:left w:val="nil"/>
              <w:bottom w:val="single" w:sz="8" w:space="0" w:color="000000"/>
              <w:right w:val="single" w:sz="8" w:space="0" w:color="000000"/>
            </w:tcBorders>
          </w:tcPr>
          <w:p w:rsidR="0093067A" w:rsidRPr="00A46E98" w:rsidRDefault="0093067A" w:rsidP="00F41AC1"/>
        </w:tc>
      </w:tr>
    </w:tbl>
    <w:p w:rsidR="00CE4C87" w:rsidRDefault="00CE4C87" w:rsidP="0093067A"/>
    <w:p w:rsidR="00E821AC" w:rsidRDefault="00E821AC" w:rsidP="0093067A"/>
    <w:sectPr w:rsidR="00E821AC" w:rsidSect="00BC200B">
      <w:footerReference w:type="even" r:id="rId11"/>
      <w:headerReference w:type="first" r:id="rId12"/>
      <w:footerReference w:type="first" r:id="rId13"/>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936" w:rsidRDefault="00A71936" w:rsidP="004A6D2F">
      <w:r>
        <w:separator/>
      </w:r>
    </w:p>
  </w:endnote>
  <w:endnote w:type="continuationSeparator" w:id="0">
    <w:p w:rsidR="00A71936" w:rsidRDefault="00A71936"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E60" w:rsidRDefault="00646E60" w:rsidP="004A6D2F">
    <w:pPr>
      <w:pStyle w:val="Footer"/>
    </w:pPr>
    <w:r>
      <w:t>Do not use a footer or page numbers.</w:t>
    </w:r>
  </w:p>
  <w:p w:rsidR="00646E60" w:rsidRDefault="00646E60" w:rsidP="004A6D2F">
    <w:pPr>
      <w:pStyle w:val="Footer"/>
    </w:pPr>
  </w:p>
  <w:p w:rsidR="00646E60" w:rsidRDefault="00646E60" w:rsidP="004A6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E60" w:rsidRDefault="00646E60" w:rsidP="004A6D2F">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936" w:rsidRDefault="00A71936" w:rsidP="004A6D2F">
      <w:r>
        <w:separator/>
      </w:r>
    </w:p>
  </w:footnote>
  <w:footnote w:type="continuationSeparator" w:id="0">
    <w:p w:rsidR="00A71936" w:rsidRDefault="00A71936" w:rsidP="004A6D2F">
      <w:r>
        <w:continuationSeparator/>
      </w:r>
    </w:p>
  </w:footnote>
  <w:footnote w:id="1">
    <w:p w:rsidR="00D90001" w:rsidRPr="00DC6785" w:rsidRDefault="00D90001" w:rsidP="00D90001">
      <w:pPr>
        <w:pStyle w:val="FootnoteText"/>
        <w:rPr>
          <w:sz w:val="16"/>
          <w:szCs w:val="16"/>
        </w:rPr>
      </w:pPr>
      <w:r w:rsidRPr="00DC6785">
        <w:rPr>
          <w:rStyle w:val="FootnoteReference"/>
          <w:sz w:val="16"/>
          <w:szCs w:val="16"/>
        </w:rPr>
        <w:footnoteRef/>
      </w:r>
      <w:r w:rsidRPr="00DC6785">
        <w:rPr>
          <w:sz w:val="16"/>
          <w:szCs w:val="16"/>
        </w:rPr>
        <w:t xml:space="preserve"> </w:t>
      </w:r>
      <w:hyperlink r:id="rId1" w:history="1">
        <w:r w:rsidRPr="00DC6785">
          <w:rPr>
            <w:rStyle w:val="Hyperlink"/>
            <w:sz w:val="16"/>
            <w:szCs w:val="16"/>
          </w:rPr>
          <w:t>How flammable cladding gets approved, BBC News, 1 July 2017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E60" w:rsidRDefault="00D90001" w:rsidP="00D5547E">
    <w:pPr>
      <w:pStyle w:val="Header"/>
      <w:jc w:val="right"/>
    </w:pPr>
    <w:r>
      <w:rPr>
        <w:noProof/>
      </w:rPr>
      <w:drawing>
        <wp:inline distT="0" distB="0" distL="0" distR="0" wp14:anchorId="38F72269" wp14:editId="7BEFE5CA">
          <wp:extent cx="843280" cy="1117600"/>
          <wp:effectExtent l="0" t="0" r="0" b="635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DEC56C"/>
    <w:lvl w:ilvl="0">
      <w:start w:val="1"/>
      <w:numFmt w:val="decimal"/>
      <w:lvlText w:val="%1."/>
      <w:lvlJc w:val="left"/>
      <w:pPr>
        <w:tabs>
          <w:tab w:val="num" w:pos="1492"/>
        </w:tabs>
        <w:ind w:left="1492" w:hanging="360"/>
      </w:pPr>
    </w:lvl>
  </w:abstractNum>
  <w:abstractNum w:abstractNumId="1">
    <w:nsid w:val="FFFFFF7D"/>
    <w:multiLevelType w:val="singleLevel"/>
    <w:tmpl w:val="6570EF96"/>
    <w:lvl w:ilvl="0">
      <w:start w:val="1"/>
      <w:numFmt w:val="decimal"/>
      <w:lvlText w:val="%1."/>
      <w:lvlJc w:val="left"/>
      <w:pPr>
        <w:tabs>
          <w:tab w:val="num" w:pos="1209"/>
        </w:tabs>
        <w:ind w:left="1209" w:hanging="360"/>
      </w:pPr>
    </w:lvl>
  </w:abstractNum>
  <w:abstractNum w:abstractNumId="2">
    <w:nsid w:val="FFFFFF7E"/>
    <w:multiLevelType w:val="singleLevel"/>
    <w:tmpl w:val="06B46E42"/>
    <w:lvl w:ilvl="0">
      <w:start w:val="1"/>
      <w:numFmt w:val="decimal"/>
      <w:lvlText w:val="%1."/>
      <w:lvlJc w:val="left"/>
      <w:pPr>
        <w:tabs>
          <w:tab w:val="num" w:pos="926"/>
        </w:tabs>
        <w:ind w:left="926" w:hanging="360"/>
      </w:pPr>
    </w:lvl>
  </w:abstractNum>
  <w:abstractNum w:abstractNumId="3">
    <w:nsid w:val="FFFFFF7F"/>
    <w:multiLevelType w:val="singleLevel"/>
    <w:tmpl w:val="1B90A310"/>
    <w:lvl w:ilvl="0">
      <w:start w:val="1"/>
      <w:numFmt w:val="decimal"/>
      <w:lvlText w:val="%1."/>
      <w:lvlJc w:val="left"/>
      <w:pPr>
        <w:tabs>
          <w:tab w:val="num" w:pos="643"/>
        </w:tabs>
        <w:ind w:left="643" w:hanging="360"/>
      </w:pPr>
    </w:lvl>
  </w:abstractNum>
  <w:abstractNum w:abstractNumId="4">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8150A"/>
    <w:lvl w:ilvl="0">
      <w:start w:val="1"/>
      <w:numFmt w:val="decimal"/>
      <w:lvlText w:val="%1."/>
      <w:lvlJc w:val="left"/>
      <w:pPr>
        <w:tabs>
          <w:tab w:val="num" w:pos="360"/>
        </w:tabs>
        <w:ind w:left="360" w:hanging="360"/>
      </w:pPr>
    </w:lvl>
  </w:abstractNum>
  <w:abstractNum w:abstractNumId="9">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nsid w:val="01165DBE"/>
    <w:multiLevelType w:val="hybridMultilevel"/>
    <w:tmpl w:val="BD4EE7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038C30BB"/>
    <w:multiLevelType w:val="multilevel"/>
    <w:tmpl w:val="E67CE66C"/>
    <w:styleLink w:val="StyleNumberedLeft0cmHanging075cm"/>
    <w:lvl w:ilvl="0">
      <w:start w:val="1"/>
      <w:numFmt w:val="decimal"/>
      <w:pStyle w:val="ListParagraph"/>
      <w:lvlText w:val="%1."/>
      <w:lvlJc w:val="left"/>
      <w:pPr>
        <w:ind w:left="502"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49C05EF"/>
    <w:multiLevelType w:val="multilevel"/>
    <w:tmpl w:val="43D6D2FA"/>
    <w:numStyleLink w:val="StyleBulletedSymbolsymbolLeft063cmHanging063cm"/>
  </w:abstractNum>
  <w:abstractNum w:abstractNumId="14">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9D84226"/>
    <w:multiLevelType w:val="hybridMultilevel"/>
    <w:tmpl w:val="D140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CAF3505"/>
    <w:multiLevelType w:val="hybridMultilevel"/>
    <w:tmpl w:val="A3C66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FBE2799"/>
    <w:multiLevelType w:val="hybridMultilevel"/>
    <w:tmpl w:val="9C981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2CC4641"/>
    <w:multiLevelType w:val="hybridMultilevel"/>
    <w:tmpl w:val="C6ECC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1866461A"/>
    <w:multiLevelType w:val="hybridMultilevel"/>
    <w:tmpl w:val="08A86C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195C1F97"/>
    <w:multiLevelType w:val="hybridMultilevel"/>
    <w:tmpl w:val="18860C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1AFF5F27"/>
    <w:multiLevelType w:val="hybridMultilevel"/>
    <w:tmpl w:val="395041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22263A6A"/>
    <w:multiLevelType w:val="multilevel"/>
    <w:tmpl w:val="43D6D2FA"/>
    <w:numStyleLink w:val="StyleBulletedSymbolsymbolLeft063cmHanging063cm"/>
  </w:abstractNum>
  <w:abstractNum w:abstractNumId="26">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DBF00A0"/>
    <w:multiLevelType w:val="hybridMultilevel"/>
    <w:tmpl w:val="E96A05A8"/>
    <w:lvl w:ilvl="0" w:tplc="0809000F">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47279B8"/>
    <w:multiLevelType w:val="hybridMultilevel"/>
    <w:tmpl w:val="9976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D02034E"/>
    <w:multiLevelType w:val="hybridMultilevel"/>
    <w:tmpl w:val="4984C426"/>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ABA5FD8"/>
    <w:multiLevelType w:val="multilevel"/>
    <w:tmpl w:val="43D6D2FA"/>
    <w:numStyleLink w:val="StyleBulletedSymbolsymbolLeft063cmHanging063cm"/>
  </w:abstractNum>
  <w:abstractNum w:abstractNumId="38">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E8C6CE8"/>
    <w:multiLevelType w:val="hybridMultilevel"/>
    <w:tmpl w:val="951496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2A22831"/>
    <w:multiLevelType w:val="multilevel"/>
    <w:tmpl w:val="43D6D2FA"/>
    <w:numStyleLink w:val="StyleBulletedSymbolsymbolLeft063cmHanging063cm"/>
  </w:abstractNum>
  <w:abstractNum w:abstractNumId="41">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CC4D95"/>
    <w:multiLevelType w:val="hybridMultilevel"/>
    <w:tmpl w:val="005C1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85808A5"/>
    <w:multiLevelType w:val="hybridMultilevel"/>
    <w:tmpl w:val="AFAE4A4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nsid w:val="798365C6"/>
    <w:multiLevelType w:val="multilevel"/>
    <w:tmpl w:val="E67CE66C"/>
    <w:numStyleLink w:val="StyleNumberedLeft0cmHanging075cm"/>
  </w:abstractNum>
  <w:abstractNum w:abstractNumId="47">
    <w:nsid w:val="7A586054"/>
    <w:multiLevelType w:val="hybridMultilevel"/>
    <w:tmpl w:val="80248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B595AF6"/>
    <w:multiLevelType w:val="hybridMultilevel"/>
    <w:tmpl w:val="B524B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32"/>
  </w:num>
  <w:num w:numId="4">
    <w:abstractNumId w:val="26"/>
  </w:num>
  <w:num w:numId="5">
    <w:abstractNumId w:val="38"/>
  </w:num>
  <w:num w:numId="6">
    <w:abstractNumId w:val="44"/>
  </w:num>
  <w:num w:numId="7">
    <w:abstractNumId w:val="30"/>
  </w:num>
  <w:num w:numId="8">
    <w:abstractNumId w:val="27"/>
  </w:num>
  <w:num w:numId="9">
    <w:abstractNumId w:val="14"/>
  </w:num>
  <w:num w:numId="10">
    <w:abstractNumId w:val="23"/>
  </w:num>
  <w:num w:numId="11">
    <w:abstractNumId w:val="35"/>
  </w:num>
  <w:num w:numId="12">
    <w:abstractNumId w:val="33"/>
  </w:num>
  <w:num w:numId="13">
    <w:abstractNumId w:val="11"/>
  </w:num>
  <w:num w:numId="14">
    <w:abstractNumId w:val="46"/>
    <w:lvlOverride w:ilvl="0">
      <w:lvl w:ilvl="0">
        <w:start w:val="1"/>
        <w:numFmt w:val="decimal"/>
        <w:pStyle w:val="ListParagraph"/>
        <w:lvlText w:val="%1."/>
        <w:lvlJc w:val="left"/>
        <w:pPr>
          <w:ind w:left="502" w:hanging="360"/>
        </w:pPr>
        <w:rPr>
          <w:b w:val="0"/>
          <w:i w:val="0"/>
        </w:rPr>
      </w:lvl>
    </w:lvlOverride>
    <w:lvlOverride w:ilvl="1">
      <w:lvl w:ilvl="1" w:tentative="1">
        <w:start w:val="1"/>
        <w:numFmt w:val="lowerLetter"/>
        <w:lvlText w:val="%2."/>
        <w:lvlJc w:val="left"/>
        <w:pPr>
          <w:ind w:left="1222" w:hanging="360"/>
        </w:pPr>
      </w:lvl>
    </w:lvlOverride>
    <w:lvlOverride w:ilvl="2">
      <w:lvl w:ilvl="2" w:tentative="1">
        <w:start w:val="1"/>
        <w:numFmt w:val="lowerRoman"/>
        <w:lvlText w:val="%3."/>
        <w:lvlJc w:val="right"/>
        <w:pPr>
          <w:ind w:left="1942" w:hanging="180"/>
        </w:pPr>
      </w:lvl>
    </w:lvlOverride>
    <w:lvlOverride w:ilvl="3">
      <w:lvl w:ilvl="3" w:tentative="1">
        <w:start w:val="1"/>
        <w:numFmt w:val="decimal"/>
        <w:lvlText w:val="%4."/>
        <w:lvlJc w:val="left"/>
        <w:pPr>
          <w:ind w:left="2662" w:hanging="360"/>
        </w:pPr>
      </w:lvl>
    </w:lvlOverride>
    <w:lvlOverride w:ilvl="4">
      <w:lvl w:ilvl="4" w:tentative="1">
        <w:start w:val="1"/>
        <w:numFmt w:val="lowerLetter"/>
        <w:lvlText w:val="%5."/>
        <w:lvlJc w:val="left"/>
        <w:pPr>
          <w:ind w:left="3382" w:hanging="360"/>
        </w:pPr>
      </w:lvl>
    </w:lvlOverride>
    <w:lvlOverride w:ilvl="5">
      <w:lvl w:ilvl="5" w:tentative="1">
        <w:start w:val="1"/>
        <w:numFmt w:val="lowerRoman"/>
        <w:lvlText w:val="%6."/>
        <w:lvlJc w:val="right"/>
        <w:pPr>
          <w:ind w:left="4102" w:hanging="180"/>
        </w:pPr>
      </w:lvl>
    </w:lvlOverride>
    <w:lvlOverride w:ilvl="6">
      <w:lvl w:ilvl="6" w:tentative="1">
        <w:start w:val="1"/>
        <w:numFmt w:val="decimal"/>
        <w:lvlText w:val="%7."/>
        <w:lvlJc w:val="left"/>
        <w:pPr>
          <w:ind w:left="4822" w:hanging="360"/>
        </w:pPr>
      </w:lvl>
    </w:lvlOverride>
    <w:lvlOverride w:ilvl="7">
      <w:lvl w:ilvl="7" w:tentative="1">
        <w:start w:val="1"/>
        <w:numFmt w:val="lowerLetter"/>
        <w:lvlText w:val="%8."/>
        <w:lvlJc w:val="left"/>
        <w:pPr>
          <w:ind w:left="5542" w:hanging="360"/>
        </w:pPr>
      </w:lvl>
    </w:lvlOverride>
    <w:lvlOverride w:ilvl="8">
      <w:lvl w:ilvl="8" w:tentative="1">
        <w:start w:val="1"/>
        <w:numFmt w:val="lowerRoman"/>
        <w:lvlText w:val="%9."/>
        <w:lvlJc w:val="right"/>
        <w:pPr>
          <w:ind w:left="6262" w:hanging="180"/>
        </w:pPr>
      </w:lvl>
    </w:lvlOverride>
  </w:num>
  <w:num w:numId="15">
    <w:abstractNumId w:val="24"/>
  </w:num>
  <w:num w:numId="16">
    <w:abstractNumId w:val="12"/>
  </w:num>
  <w:num w:numId="17">
    <w:abstractNumId w:val="37"/>
  </w:num>
  <w:num w:numId="18">
    <w:abstractNumId w:val="13"/>
  </w:num>
  <w:num w:numId="19">
    <w:abstractNumId w:val="40"/>
  </w:num>
  <w:num w:numId="20">
    <w:abstractNumId w:val="25"/>
  </w:num>
  <w:num w:numId="21">
    <w:abstractNumId w:val="29"/>
  </w:num>
  <w:num w:numId="22">
    <w:abstractNumId w:val="16"/>
  </w:num>
  <w:num w:numId="23">
    <w:abstractNumId w:val="41"/>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28"/>
  </w:num>
  <w:num w:numId="35">
    <w:abstractNumId w:val="48"/>
  </w:num>
  <w:num w:numId="36">
    <w:abstractNumId w:val="10"/>
  </w:num>
  <w:num w:numId="37">
    <w:abstractNumId w:val="21"/>
  </w:num>
  <w:num w:numId="38">
    <w:abstractNumId w:val="17"/>
  </w:num>
  <w:num w:numId="39">
    <w:abstractNumId w:val="47"/>
  </w:num>
  <w:num w:numId="40">
    <w:abstractNumId w:val="39"/>
  </w:num>
  <w:num w:numId="41">
    <w:abstractNumId w:val="20"/>
  </w:num>
  <w:num w:numId="42">
    <w:abstractNumId w:val="19"/>
  </w:num>
  <w:num w:numId="43">
    <w:abstractNumId w:val="15"/>
  </w:num>
  <w:num w:numId="44">
    <w:abstractNumId w:val="31"/>
  </w:num>
  <w:num w:numId="45">
    <w:abstractNumId w:val="22"/>
  </w:num>
  <w:num w:numId="46">
    <w:abstractNumId w:val="43"/>
  </w:num>
  <w:num w:numId="47">
    <w:abstractNumId w:val="34"/>
  </w:num>
  <w:num w:numId="48">
    <w:abstractNumId w:val="45"/>
  </w:num>
  <w:num w:numId="49">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ates">
    <w15:presenceInfo w15:providerId="None" w15:userId="Jy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revisionView w:markup="0"/>
  <w:documentProtection w:edit="trackedChange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01"/>
    <w:rsid w:val="000057E0"/>
    <w:rsid w:val="000117D4"/>
    <w:rsid w:val="000314D7"/>
    <w:rsid w:val="00045F8B"/>
    <w:rsid w:val="00046D2B"/>
    <w:rsid w:val="00056263"/>
    <w:rsid w:val="00064D8A"/>
    <w:rsid w:val="00064F82"/>
    <w:rsid w:val="00066510"/>
    <w:rsid w:val="000676ED"/>
    <w:rsid w:val="00072CA4"/>
    <w:rsid w:val="00077523"/>
    <w:rsid w:val="000869A9"/>
    <w:rsid w:val="000C089F"/>
    <w:rsid w:val="000C3928"/>
    <w:rsid w:val="000C5E8E"/>
    <w:rsid w:val="000F3555"/>
    <w:rsid w:val="000F4751"/>
    <w:rsid w:val="000F5D8F"/>
    <w:rsid w:val="0010524C"/>
    <w:rsid w:val="00110EA0"/>
    <w:rsid w:val="00111FB1"/>
    <w:rsid w:val="00113418"/>
    <w:rsid w:val="00124798"/>
    <w:rsid w:val="001356F1"/>
    <w:rsid w:val="00136994"/>
    <w:rsid w:val="0014128E"/>
    <w:rsid w:val="001435FD"/>
    <w:rsid w:val="00151888"/>
    <w:rsid w:val="00170A2D"/>
    <w:rsid w:val="00174EC5"/>
    <w:rsid w:val="00177506"/>
    <w:rsid w:val="001808BC"/>
    <w:rsid w:val="00182B81"/>
    <w:rsid w:val="0018619D"/>
    <w:rsid w:val="001A011E"/>
    <w:rsid w:val="001A066A"/>
    <w:rsid w:val="001A13E6"/>
    <w:rsid w:val="001A5731"/>
    <w:rsid w:val="001B0EF4"/>
    <w:rsid w:val="001B42C3"/>
    <w:rsid w:val="001C5D5E"/>
    <w:rsid w:val="001D678D"/>
    <w:rsid w:val="001E03F8"/>
    <w:rsid w:val="001E1678"/>
    <w:rsid w:val="001E3376"/>
    <w:rsid w:val="0020264F"/>
    <w:rsid w:val="00206045"/>
    <w:rsid w:val="002069B3"/>
    <w:rsid w:val="002329CF"/>
    <w:rsid w:val="00232F5B"/>
    <w:rsid w:val="002407E6"/>
    <w:rsid w:val="00247C29"/>
    <w:rsid w:val="00247F97"/>
    <w:rsid w:val="00254272"/>
    <w:rsid w:val="00255654"/>
    <w:rsid w:val="00260467"/>
    <w:rsid w:val="00263EA3"/>
    <w:rsid w:val="00271078"/>
    <w:rsid w:val="00284F85"/>
    <w:rsid w:val="002852D5"/>
    <w:rsid w:val="00290915"/>
    <w:rsid w:val="00291232"/>
    <w:rsid w:val="002A22E2"/>
    <w:rsid w:val="002B7412"/>
    <w:rsid w:val="002C64F7"/>
    <w:rsid w:val="002F342B"/>
    <w:rsid w:val="002F41F2"/>
    <w:rsid w:val="002F7CA9"/>
    <w:rsid w:val="00301BF3"/>
    <w:rsid w:val="0030208D"/>
    <w:rsid w:val="00310EE7"/>
    <w:rsid w:val="00323418"/>
    <w:rsid w:val="003357BF"/>
    <w:rsid w:val="00336C26"/>
    <w:rsid w:val="00364FAD"/>
    <w:rsid w:val="0036738F"/>
    <w:rsid w:val="0036759C"/>
    <w:rsid w:val="00367AE5"/>
    <w:rsid w:val="00367D71"/>
    <w:rsid w:val="0037004A"/>
    <w:rsid w:val="00375466"/>
    <w:rsid w:val="0038150A"/>
    <w:rsid w:val="00396251"/>
    <w:rsid w:val="003B6E75"/>
    <w:rsid w:val="003B7DA1"/>
    <w:rsid w:val="003D0379"/>
    <w:rsid w:val="003D2574"/>
    <w:rsid w:val="003D4C59"/>
    <w:rsid w:val="003E4FA1"/>
    <w:rsid w:val="003F4267"/>
    <w:rsid w:val="00401E63"/>
    <w:rsid w:val="00404032"/>
    <w:rsid w:val="0040736F"/>
    <w:rsid w:val="00412C1F"/>
    <w:rsid w:val="00421CB2"/>
    <w:rsid w:val="00423452"/>
    <w:rsid w:val="004268B9"/>
    <w:rsid w:val="00433B96"/>
    <w:rsid w:val="004364E5"/>
    <w:rsid w:val="004440F1"/>
    <w:rsid w:val="004456DD"/>
    <w:rsid w:val="00446CDF"/>
    <w:rsid w:val="004514A4"/>
    <w:rsid w:val="004521B7"/>
    <w:rsid w:val="00452887"/>
    <w:rsid w:val="00462AB5"/>
    <w:rsid w:val="004650F5"/>
    <w:rsid w:val="00465EAF"/>
    <w:rsid w:val="004738C5"/>
    <w:rsid w:val="00491046"/>
    <w:rsid w:val="004A2AC7"/>
    <w:rsid w:val="004A6B83"/>
    <w:rsid w:val="004A6D2F"/>
    <w:rsid w:val="004B698A"/>
    <w:rsid w:val="004C2887"/>
    <w:rsid w:val="004D2626"/>
    <w:rsid w:val="004D6E26"/>
    <w:rsid w:val="004D77D3"/>
    <w:rsid w:val="004E2959"/>
    <w:rsid w:val="004F20EF"/>
    <w:rsid w:val="0050321C"/>
    <w:rsid w:val="0051555A"/>
    <w:rsid w:val="00520A80"/>
    <w:rsid w:val="0052413A"/>
    <w:rsid w:val="00524CFC"/>
    <w:rsid w:val="00545A62"/>
    <w:rsid w:val="0054712D"/>
    <w:rsid w:val="00547EF6"/>
    <w:rsid w:val="005570B5"/>
    <w:rsid w:val="00567E18"/>
    <w:rsid w:val="00575F5F"/>
    <w:rsid w:val="00581805"/>
    <w:rsid w:val="005854C6"/>
    <w:rsid w:val="00585F76"/>
    <w:rsid w:val="00594721"/>
    <w:rsid w:val="005A12CB"/>
    <w:rsid w:val="005A34E4"/>
    <w:rsid w:val="005A578B"/>
    <w:rsid w:val="005B17F2"/>
    <w:rsid w:val="005B7FB0"/>
    <w:rsid w:val="005C306B"/>
    <w:rsid w:val="005C35A5"/>
    <w:rsid w:val="005C4DE0"/>
    <w:rsid w:val="005C577C"/>
    <w:rsid w:val="005D0621"/>
    <w:rsid w:val="005D1E27"/>
    <w:rsid w:val="005D2A3E"/>
    <w:rsid w:val="005E022E"/>
    <w:rsid w:val="005E5215"/>
    <w:rsid w:val="005F7F7E"/>
    <w:rsid w:val="00605433"/>
    <w:rsid w:val="00614693"/>
    <w:rsid w:val="00623C2F"/>
    <w:rsid w:val="00633578"/>
    <w:rsid w:val="00636366"/>
    <w:rsid w:val="00637068"/>
    <w:rsid w:val="00646E60"/>
    <w:rsid w:val="00650811"/>
    <w:rsid w:val="00653A89"/>
    <w:rsid w:val="00661D3E"/>
    <w:rsid w:val="00673AA7"/>
    <w:rsid w:val="00692627"/>
    <w:rsid w:val="006969E7"/>
    <w:rsid w:val="006A3643"/>
    <w:rsid w:val="006C17F2"/>
    <w:rsid w:val="006C2A29"/>
    <w:rsid w:val="006C64CF"/>
    <w:rsid w:val="006D17B1"/>
    <w:rsid w:val="006D4752"/>
    <w:rsid w:val="006D708A"/>
    <w:rsid w:val="006D7B71"/>
    <w:rsid w:val="006E14C1"/>
    <w:rsid w:val="006F0292"/>
    <w:rsid w:val="006F27FA"/>
    <w:rsid w:val="006F416B"/>
    <w:rsid w:val="006F519B"/>
    <w:rsid w:val="00713675"/>
    <w:rsid w:val="00715823"/>
    <w:rsid w:val="007168E3"/>
    <w:rsid w:val="00722DF2"/>
    <w:rsid w:val="007231B8"/>
    <w:rsid w:val="00737B93"/>
    <w:rsid w:val="00740DDC"/>
    <w:rsid w:val="00742E20"/>
    <w:rsid w:val="00745BF0"/>
    <w:rsid w:val="007615FE"/>
    <w:rsid w:val="0076655C"/>
    <w:rsid w:val="007742DC"/>
    <w:rsid w:val="00776D3F"/>
    <w:rsid w:val="00780BB9"/>
    <w:rsid w:val="00791437"/>
    <w:rsid w:val="007B0C2C"/>
    <w:rsid w:val="007B2409"/>
    <w:rsid w:val="007B278E"/>
    <w:rsid w:val="007C5C23"/>
    <w:rsid w:val="007E2A26"/>
    <w:rsid w:val="007F2348"/>
    <w:rsid w:val="00803F07"/>
    <w:rsid w:val="0080749A"/>
    <w:rsid w:val="00821FB8"/>
    <w:rsid w:val="00822ACD"/>
    <w:rsid w:val="008230B0"/>
    <w:rsid w:val="00834289"/>
    <w:rsid w:val="0084214D"/>
    <w:rsid w:val="008551B7"/>
    <w:rsid w:val="00855C66"/>
    <w:rsid w:val="00871EE4"/>
    <w:rsid w:val="008B293F"/>
    <w:rsid w:val="008B7371"/>
    <w:rsid w:val="008D3DDB"/>
    <w:rsid w:val="008D7597"/>
    <w:rsid w:val="008F573F"/>
    <w:rsid w:val="009034EC"/>
    <w:rsid w:val="00926F56"/>
    <w:rsid w:val="0093067A"/>
    <w:rsid w:val="00941C60"/>
    <w:rsid w:val="00962712"/>
    <w:rsid w:val="00966D42"/>
    <w:rsid w:val="00971689"/>
    <w:rsid w:val="00973E90"/>
    <w:rsid w:val="00975B07"/>
    <w:rsid w:val="00980B4A"/>
    <w:rsid w:val="009B2B00"/>
    <w:rsid w:val="009E3D0A"/>
    <w:rsid w:val="009E51FC"/>
    <w:rsid w:val="009F1D28"/>
    <w:rsid w:val="009F7618"/>
    <w:rsid w:val="00A04D23"/>
    <w:rsid w:val="00A06766"/>
    <w:rsid w:val="00A13765"/>
    <w:rsid w:val="00A21B12"/>
    <w:rsid w:val="00A23F80"/>
    <w:rsid w:val="00A46E98"/>
    <w:rsid w:val="00A6352B"/>
    <w:rsid w:val="00A701B5"/>
    <w:rsid w:val="00A714BB"/>
    <w:rsid w:val="00A71936"/>
    <w:rsid w:val="00A92D8F"/>
    <w:rsid w:val="00AB0225"/>
    <w:rsid w:val="00AB2988"/>
    <w:rsid w:val="00AB7999"/>
    <w:rsid w:val="00AD3292"/>
    <w:rsid w:val="00AD65EC"/>
    <w:rsid w:val="00AE7AF0"/>
    <w:rsid w:val="00AF6315"/>
    <w:rsid w:val="00B036A7"/>
    <w:rsid w:val="00B07D98"/>
    <w:rsid w:val="00B3522C"/>
    <w:rsid w:val="00B42C85"/>
    <w:rsid w:val="00B500CA"/>
    <w:rsid w:val="00B86314"/>
    <w:rsid w:val="00BA1C2E"/>
    <w:rsid w:val="00BC200B"/>
    <w:rsid w:val="00BC4756"/>
    <w:rsid w:val="00BC69A4"/>
    <w:rsid w:val="00BE0680"/>
    <w:rsid w:val="00BE305F"/>
    <w:rsid w:val="00BE7BA3"/>
    <w:rsid w:val="00BF5682"/>
    <w:rsid w:val="00BF7B09"/>
    <w:rsid w:val="00C20A95"/>
    <w:rsid w:val="00C2692F"/>
    <w:rsid w:val="00C3207C"/>
    <w:rsid w:val="00C400E1"/>
    <w:rsid w:val="00C41187"/>
    <w:rsid w:val="00C50BCC"/>
    <w:rsid w:val="00C63C31"/>
    <w:rsid w:val="00C757A0"/>
    <w:rsid w:val="00C760DE"/>
    <w:rsid w:val="00C82630"/>
    <w:rsid w:val="00C85B4E"/>
    <w:rsid w:val="00C907F7"/>
    <w:rsid w:val="00CA1BE8"/>
    <w:rsid w:val="00CA2103"/>
    <w:rsid w:val="00CB6B99"/>
    <w:rsid w:val="00CE4C87"/>
    <w:rsid w:val="00CE544A"/>
    <w:rsid w:val="00CF6DDB"/>
    <w:rsid w:val="00D05F28"/>
    <w:rsid w:val="00D11E1C"/>
    <w:rsid w:val="00D160B0"/>
    <w:rsid w:val="00D17F94"/>
    <w:rsid w:val="00D21547"/>
    <w:rsid w:val="00D223FC"/>
    <w:rsid w:val="00D26D1E"/>
    <w:rsid w:val="00D474CF"/>
    <w:rsid w:val="00D5547E"/>
    <w:rsid w:val="00D56440"/>
    <w:rsid w:val="00D620DE"/>
    <w:rsid w:val="00D869A1"/>
    <w:rsid w:val="00D90001"/>
    <w:rsid w:val="00D90242"/>
    <w:rsid w:val="00DA413F"/>
    <w:rsid w:val="00DA4584"/>
    <w:rsid w:val="00DA614B"/>
    <w:rsid w:val="00DC3060"/>
    <w:rsid w:val="00DC6785"/>
    <w:rsid w:val="00DE0FB2"/>
    <w:rsid w:val="00DF093E"/>
    <w:rsid w:val="00E01F42"/>
    <w:rsid w:val="00E12E71"/>
    <w:rsid w:val="00E206D6"/>
    <w:rsid w:val="00E3366E"/>
    <w:rsid w:val="00E468BF"/>
    <w:rsid w:val="00E52086"/>
    <w:rsid w:val="00E543A6"/>
    <w:rsid w:val="00E60479"/>
    <w:rsid w:val="00E61D73"/>
    <w:rsid w:val="00E73684"/>
    <w:rsid w:val="00E77FBC"/>
    <w:rsid w:val="00E818D6"/>
    <w:rsid w:val="00E821AC"/>
    <w:rsid w:val="00E87F7A"/>
    <w:rsid w:val="00E96BD7"/>
    <w:rsid w:val="00EA0DB1"/>
    <w:rsid w:val="00EA0EE9"/>
    <w:rsid w:val="00EB6C8A"/>
    <w:rsid w:val="00ED52CA"/>
    <w:rsid w:val="00ED5860"/>
    <w:rsid w:val="00EE35C9"/>
    <w:rsid w:val="00EF1287"/>
    <w:rsid w:val="00F00529"/>
    <w:rsid w:val="00F05ECA"/>
    <w:rsid w:val="00F115F9"/>
    <w:rsid w:val="00F17AA2"/>
    <w:rsid w:val="00F3566E"/>
    <w:rsid w:val="00F375FB"/>
    <w:rsid w:val="00F41AC1"/>
    <w:rsid w:val="00F4367A"/>
    <w:rsid w:val="00F445B1"/>
    <w:rsid w:val="00F45CD4"/>
    <w:rsid w:val="00F66DCA"/>
    <w:rsid w:val="00F74F53"/>
    <w:rsid w:val="00F756C3"/>
    <w:rsid w:val="00F7606D"/>
    <w:rsid w:val="00F7648F"/>
    <w:rsid w:val="00F81670"/>
    <w:rsid w:val="00F82024"/>
    <w:rsid w:val="00F83832"/>
    <w:rsid w:val="00F87D3C"/>
    <w:rsid w:val="00F95BC9"/>
    <w:rsid w:val="00FA16D2"/>
    <w:rsid w:val="00FA624C"/>
    <w:rsid w:val="00FD0FAC"/>
    <w:rsid w:val="00FD1DFA"/>
    <w:rsid w:val="00FD4966"/>
    <w:rsid w:val="00FE3BF2"/>
    <w:rsid w:val="00FE57DC"/>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paragraph" w:styleId="FootnoteText">
    <w:name w:val="footnote text"/>
    <w:basedOn w:val="Normal"/>
    <w:link w:val="FootnoteTextChar"/>
    <w:uiPriority w:val="99"/>
    <w:unhideWhenUsed/>
    <w:rsid w:val="00D90001"/>
    <w:pPr>
      <w:spacing w:after="0"/>
    </w:pPr>
    <w:rPr>
      <w:rFonts w:eastAsia="Calibri" w:cs="Arial"/>
      <w:color w:val="auto"/>
      <w:sz w:val="20"/>
      <w:szCs w:val="20"/>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character" w:customStyle="1" w:styleId="FootnoteTextChar">
    <w:name w:val="Footnote Text Char"/>
    <w:basedOn w:val="DefaultParagraphFont"/>
    <w:link w:val="FootnoteText"/>
    <w:uiPriority w:val="99"/>
    <w:rsid w:val="00D90001"/>
    <w:rPr>
      <w:rFonts w:eastAsia="Calibri" w:cs="Arial"/>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character" w:styleId="FootnoteReference">
    <w:name w:val="footnote reference"/>
    <w:uiPriority w:val="99"/>
    <w:unhideWhenUsed/>
    <w:rsid w:val="00D900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paragraph" w:styleId="FootnoteText">
    <w:name w:val="footnote text"/>
    <w:basedOn w:val="Normal"/>
    <w:link w:val="FootnoteTextChar"/>
    <w:uiPriority w:val="99"/>
    <w:unhideWhenUsed/>
    <w:rsid w:val="00D90001"/>
    <w:pPr>
      <w:spacing w:after="0"/>
    </w:pPr>
    <w:rPr>
      <w:rFonts w:eastAsia="Calibri" w:cs="Arial"/>
      <w:color w:val="auto"/>
      <w:sz w:val="20"/>
      <w:szCs w:val="20"/>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character" w:customStyle="1" w:styleId="FootnoteTextChar">
    <w:name w:val="Footnote Text Char"/>
    <w:basedOn w:val="DefaultParagraphFont"/>
    <w:link w:val="FootnoteText"/>
    <w:uiPriority w:val="99"/>
    <w:rsid w:val="00D90001"/>
    <w:rPr>
      <w:rFonts w:eastAsia="Calibri" w:cs="Arial"/>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character" w:styleId="FootnoteReference">
    <w:name w:val="footnote reference"/>
    <w:uiPriority w:val="99"/>
    <w:unhideWhenUsed/>
    <w:rsid w:val="00D900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brown2@oxford.gov.uk" TargetMode="External"/><Relationship Id="rId4" Type="http://schemas.microsoft.com/office/2007/relationships/stylesWithEffects" Target="stylesWithEffects.xml"/><Relationship Id="rId9" Type="http://schemas.openxmlformats.org/officeDocument/2006/relationships/hyperlink" Target="mailto:mnewman@oxford.gov.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bc.co.uk/news/uk-404653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67604-D911-486A-B45A-A198651E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3096</Words>
  <Characters>16483</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Mike.Newman</dc:creator>
  <cp:lastModifiedBy>abrown2</cp:lastModifiedBy>
  <cp:revision>10</cp:revision>
  <cp:lastPrinted>2017-12-12T09:39:00Z</cp:lastPrinted>
  <dcterms:created xsi:type="dcterms:W3CDTF">2018-01-08T09:58:00Z</dcterms:created>
  <dcterms:modified xsi:type="dcterms:W3CDTF">2018-01-08T10:26:00Z</dcterms:modified>
</cp:coreProperties>
</file>