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2C6" w:rsidRPr="00C06858" w:rsidRDefault="004D5DD8" w:rsidP="008A22C6">
      <w:pPr>
        <w:rPr>
          <w:b/>
          <w:caps/>
          <w:sz w:val="32"/>
          <w:szCs w:val="32"/>
        </w:rPr>
      </w:pPr>
      <w:r w:rsidRPr="00C06858">
        <w:rPr>
          <w:b/>
          <w:caps/>
          <w:sz w:val="32"/>
          <w:szCs w:val="32"/>
        </w:rPr>
        <w:t xml:space="preserve">The Implications </w:t>
      </w:r>
      <w:r w:rsidR="004D0124" w:rsidRPr="00C06858">
        <w:rPr>
          <w:b/>
          <w:caps/>
          <w:sz w:val="32"/>
          <w:szCs w:val="32"/>
        </w:rPr>
        <w:t xml:space="preserve">of </w:t>
      </w:r>
      <w:r w:rsidRPr="00C06858">
        <w:rPr>
          <w:b/>
          <w:caps/>
          <w:sz w:val="32"/>
          <w:szCs w:val="32"/>
        </w:rPr>
        <w:t>Brexit</w:t>
      </w:r>
      <w:r w:rsidR="00DB50DC">
        <w:rPr>
          <w:b/>
          <w:caps/>
          <w:sz w:val="32"/>
          <w:szCs w:val="32"/>
        </w:rPr>
        <w:t xml:space="preserve"> </w:t>
      </w:r>
    </w:p>
    <w:p w:rsidR="004D0124" w:rsidRPr="00C06858" w:rsidRDefault="004D0124" w:rsidP="008A22C6">
      <w:pPr>
        <w:rPr>
          <w:b/>
        </w:rPr>
      </w:pPr>
    </w:p>
    <w:p w:rsidR="004D0124" w:rsidRPr="00621396" w:rsidRDefault="004D0124" w:rsidP="008A22C6">
      <w:pPr>
        <w:rPr>
          <w:b/>
        </w:rPr>
      </w:pPr>
      <w:r w:rsidRPr="00621396">
        <w:rPr>
          <w:b/>
        </w:rPr>
        <w:t xml:space="preserve">Date </w:t>
      </w:r>
      <w:r w:rsidR="00621396">
        <w:rPr>
          <w:b/>
        </w:rPr>
        <w:tab/>
      </w:r>
      <w:r w:rsidRPr="00621396">
        <w:rPr>
          <w:b/>
        </w:rPr>
        <w:t>:</w:t>
      </w:r>
      <w:r w:rsidRPr="00621396">
        <w:rPr>
          <w:b/>
        </w:rPr>
        <w:tab/>
      </w:r>
      <w:r w:rsidR="00C06858" w:rsidRPr="00621396">
        <w:rPr>
          <w:b/>
        </w:rPr>
        <w:tab/>
      </w:r>
      <w:r w:rsidR="00C06858" w:rsidRPr="00621396">
        <w:rPr>
          <w:b/>
        </w:rPr>
        <w:tab/>
      </w:r>
      <w:r w:rsidR="005A1923" w:rsidRPr="00621396">
        <w:rPr>
          <w:b/>
        </w:rPr>
        <w:t>20</w:t>
      </w:r>
      <w:r w:rsidR="005E12AD" w:rsidRPr="00621396">
        <w:rPr>
          <w:b/>
        </w:rPr>
        <w:t>-0</w:t>
      </w:r>
      <w:r w:rsidR="005A1923" w:rsidRPr="00621396">
        <w:rPr>
          <w:b/>
        </w:rPr>
        <w:t>3</w:t>
      </w:r>
      <w:r w:rsidRPr="00621396">
        <w:rPr>
          <w:b/>
        </w:rPr>
        <w:t>-201</w:t>
      </w:r>
      <w:r w:rsidR="005A1923" w:rsidRPr="00621396">
        <w:rPr>
          <w:b/>
        </w:rPr>
        <w:t>7</w:t>
      </w:r>
    </w:p>
    <w:p w:rsidR="004D0124" w:rsidRDefault="00C06858" w:rsidP="008A22C6">
      <w:pPr>
        <w:rPr>
          <w:b/>
        </w:rPr>
      </w:pPr>
      <w:r w:rsidRPr="00621396">
        <w:rPr>
          <w:b/>
        </w:rPr>
        <w:t>From</w:t>
      </w:r>
      <w:r w:rsidRPr="00C06858">
        <w:rPr>
          <w:b/>
          <w:sz w:val="32"/>
          <w:szCs w:val="32"/>
        </w:rPr>
        <w:t xml:space="preserve"> </w:t>
      </w:r>
      <w:r w:rsidR="00621396">
        <w:rPr>
          <w:b/>
          <w:sz w:val="32"/>
          <w:szCs w:val="32"/>
        </w:rPr>
        <w:tab/>
      </w:r>
      <w:r w:rsidRPr="00C06858">
        <w:rPr>
          <w:b/>
          <w:sz w:val="32"/>
          <w:szCs w:val="32"/>
        </w:rPr>
        <w:t>:</w:t>
      </w:r>
      <w:r w:rsidRPr="00C06858">
        <w:rPr>
          <w:b/>
          <w:sz w:val="32"/>
          <w:szCs w:val="32"/>
        </w:rPr>
        <w:tab/>
      </w:r>
      <w:r w:rsidRPr="00C06858">
        <w:rPr>
          <w:b/>
          <w:sz w:val="32"/>
          <w:szCs w:val="32"/>
        </w:rPr>
        <w:tab/>
      </w:r>
      <w:r>
        <w:rPr>
          <w:b/>
          <w:sz w:val="32"/>
          <w:szCs w:val="32"/>
        </w:rPr>
        <w:tab/>
      </w:r>
      <w:r w:rsidR="004D0124" w:rsidRPr="00FB569A">
        <w:rPr>
          <w:b/>
        </w:rPr>
        <w:t xml:space="preserve">Head </w:t>
      </w:r>
      <w:proofErr w:type="gramStart"/>
      <w:r w:rsidR="004D0124" w:rsidRPr="00FB569A">
        <w:rPr>
          <w:b/>
        </w:rPr>
        <w:t>Of</w:t>
      </w:r>
      <w:proofErr w:type="gramEnd"/>
      <w:r w:rsidR="004D0124" w:rsidRPr="00FB569A">
        <w:rPr>
          <w:b/>
        </w:rPr>
        <w:t xml:space="preserve"> Financial Services</w:t>
      </w:r>
    </w:p>
    <w:p w:rsidR="00621396" w:rsidRPr="00FB569A" w:rsidRDefault="00621396" w:rsidP="008A22C6">
      <w:pPr>
        <w:rPr>
          <w:b/>
        </w:rPr>
      </w:pPr>
      <w:r>
        <w:rPr>
          <w:b/>
        </w:rPr>
        <w:t xml:space="preserve">To </w:t>
      </w:r>
      <w:r>
        <w:rPr>
          <w:b/>
        </w:rPr>
        <w:tab/>
        <w:t>:</w:t>
      </w:r>
      <w:r>
        <w:rPr>
          <w:b/>
        </w:rPr>
        <w:tab/>
      </w:r>
      <w:r>
        <w:rPr>
          <w:b/>
        </w:rPr>
        <w:tab/>
      </w:r>
      <w:r>
        <w:rPr>
          <w:b/>
        </w:rPr>
        <w:tab/>
        <w:t>Finance Scrutiny Panel</w:t>
      </w:r>
    </w:p>
    <w:p w:rsidR="001D6423" w:rsidRDefault="001D6423" w:rsidP="008A22C6"/>
    <w:p w:rsidR="00AC00EE" w:rsidRPr="00AC00EE" w:rsidRDefault="00AC00EE" w:rsidP="008A22C6">
      <w:pPr>
        <w:rPr>
          <w:b/>
        </w:rPr>
      </w:pPr>
      <w:r>
        <w:rPr>
          <w:b/>
        </w:rPr>
        <w:t>Background</w:t>
      </w:r>
    </w:p>
    <w:p w:rsidR="00FB569A" w:rsidRDefault="005A1923" w:rsidP="008A22C6">
      <w:r>
        <w:t xml:space="preserve">The Head of Financial Services provided an initial paper to the Finance Scrutiny Panel in August 2016 shortly after the </w:t>
      </w:r>
      <w:r w:rsidR="00FB569A">
        <w:t>vote for Brexit on 23</w:t>
      </w:r>
      <w:r w:rsidR="00E803DA" w:rsidRPr="00E803DA">
        <w:rPr>
          <w:vertAlign w:val="superscript"/>
        </w:rPr>
        <w:t>rd</w:t>
      </w:r>
      <w:r w:rsidR="00E803DA">
        <w:t xml:space="preserve"> </w:t>
      </w:r>
      <w:r w:rsidR="00FB569A">
        <w:t xml:space="preserve">June </w:t>
      </w:r>
      <w:r>
        <w:t>2016</w:t>
      </w:r>
      <w:r w:rsidR="00B63B1C">
        <w:t xml:space="preserve">. </w:t>
      </w:r>
      <w:r w:rsidR="008C2216">
        <w:t>Recently Theresa May announced that Article 50 would be triggered on 29</w:t>
      </w:r>
      <w:r w:rsidR="008C2216" w:rsidRPr="008C2216">
        <w:rPr>
          <w:vertAlign w:val="superscript"/>
        </w:rPr>
        <w:t>th</w:t>
      </w:r>
      <w:r w:rsidR="008C2216">
        <w:t xml:space="preserve"> March 2017 and with it the commencement of Britain’s exit from the EU. </w:t>
      </w:r>
      <w:r w:rsidR="00B63B1C">
        <w:t>This paper</w:t>
      </w:r>
      <w:r>
        <w:t xml:space="preserve"> provides an update </w:t>
      </w:r>
      <w:r w:rsidR="00B63B1C">
        <w:t xml:space="preserve">on the issues </w:t>
      </w:r>
      <w:r w:rsidR="00867DC5">
        <w:t>a</w:t>
      </w:r>
      <w:r w:rsidR="00B63B1C">
        <w:t>ffect</w:t>
      </w:r>
      <w:r>
        <w:t>ing</w:t>
      </w:r>
      <w:r w:rsidR="00B63B1C">
        <w:t xml:space="preserve"> </w:t>
      </w:r>
      <w:r w:rsidR="00AE1C6E">
        <w:t>the economy</w:t>
      </w:r>
      <w:r w:rsidR="00B63B1C">
        <w:t xml:space="preserve"> </w:t>
      </w:r>
      <w:r w:rsidR="00867DC5">
        <w:t xml:space="preserve">generally </w:t>
      </w:r>
      <w:r w:rsidR="00B63B1C">
        <w:t>and Oxford City Council</w:t>
      </w:r>
      <w:r>
        <w:t xml:space="preserve"> in-particular</w:t>
      </w:r>
      <w:r w:rsidR="00AE1C6E">
        <w:t>,</w:t>
      </w:r>
      <w:r>
        <w:t xml:space="preserve"> since that original paper.</w:t>
      </w:r>
    </w:p>
    <w:p w:rsidR="00FB569A" w:rsidRDefault="00FB569A" w:rsidP="008A22C6"/>
    <w:p w:rsidR="00AC00EE" w:rsidRPr="00AC00EE" w:rsidRDefault="00AC00EE" w:rsidP="008A22C6">
      <w:pPr>
        <w:rPr>
          <w:b/>
        </w:rPr>
      </w:pPr>
      <w:r w:rsidRPr="00AC00EE">
        <w:rPr>
          <w:b/>
        </w:rPr>
        <w:t>Executive Summary</w:t>
      </w:r>
    </w:p>
    <w:p w:rsidR="00AC00EE" w:rsidRDefault="00AC00EE" w:rsidP="00AC00EE">
      <w:pPr>
        <w:shd w:val="clear" w:color="auto" w:fill="FFFFFF"/>
        <w:rPr>
          <w:rFonts w:eastAsia="Times New Roman"/>
          <w:lang w:eastAsia="en-GB"/>
        </w:rPr>
      </w:pPr>
      <w:r>
        <w:rPr>
          <w:rFonts w:eastAsia="Times New Roman"/>
          <w:lang w:eastAsia="en-GB"/>
        </w:rPr>
        <w:t>Before the referendum last June, many economists produced gloomy forecasts of what would happen which have since been proved wrong. Consumer confidence does not appear to have suffered and things have gone on as before. Some say the only real change will happen once the UK has left the EU. The UK economy grew more than previously reported in the final three months of 2016 according to the latest official estimates.</w:t>
      </w:r>
    </w:p>
    <w:p w:rsidR="00AC00EE" w:rsidRDefault="00AC00EE" w:rsidP="00AC00EE">
      <w:pPr>
        <w:shd w:val="clear" w:color="auto" w:fill="FFFFFF"/>
        <w:rPr>
          <w:rFonts w:eastAsia="Times New Roman"/>
          <w:lang w:eastAsia="en-GB"/>
        </w:rPr>
      </w:pPr>
    </w:p>
    <w:p w:rsidR="00AC00EE" w:rsidRPr="002A69E6" w:rsidRDefault="00AC00EE" w:rsidP="00AC00EE">
      <w:pPr>
        <w:shd w:val="clear" w:color="auto" w:fill="FFFFFF"/>
        <w:rPr>
          <w:rFonts w:eastAsia="Times New Roman"/>
          <w:lang w:eastAsia="en-GB"/>
        </w:rPr>
      </w:pPr>
      <w:r w:rsidRPr="002A69E6">
        <w:rPr>
          <w:rFonts w:eastAsia="Times New Roman"/>
          <w:lang w:eastAsia="en-GB"/>
        </w:rPr>
        <w:t>The B</w:t>
      </w:r>
      <w:r>
        <w:rPr>
          <w:rFonts w:eastAsia="Times New Roman"/>
          <w:lang w:eastAsia="en-GB"/>
        </w:rPr>
        <w:t>rexit</w:t>
      </w:r>
      <w:r w:rsidRPr="002A69E6">
        <w:rPr>
          <w:rFonts w:eastAsia="Times New Roman"/>
          <w:lang w:eastAsia="en-GB"/>
        </w:rPr>
        <w:t xml:space="preserve"> event in June 2016 caused some initial unrest in the financial markets. Investment interest rates with banks and building societies decreased </w:t>
      </w:r>
      <w:r>
        <w:rPr>
          <w:rFonts w:eastAsia="Times New Roman"/>
          <w:lang w:eastAsia="en-GB"/>
        </w:rPr>
        <w:t>and have remained low and with no recovery in bas</w:t>
      </w:r>
      <w:r w:rsidRPr="002A69E6">
        <w:rPr>
          <w:rFonts w:eastAsia="Times New Roman"/>
          <w:lang w:eastAsia="en-GB"/>
        </w:rPr>
        <w:t xml:space="preserve">e rates forecast until </w:t>
      </w:r>
      <w:proofErr w:type="gramStart"/>
      <w:r w:rsidRPr="002A69E6">
        <w:rPr>
          <w:rFonts w:eastAsia="Times New Roman"/>
          <w:lang w:eastAsia="en-GB"/>
        </w:rPr>
        <w:t>Spring</w:t>
      </w:r>
      <w:proofErr w:type="gramEnd"/>
      <w:r w:rsidRPr="002A69E6">
        <w:rPr>
          <w:rFonts w:eastAsia="Times New Roman"/>
          <w:lang w:eastAsia="en-GB"/>
        </w:rPr>
        <w:t xml:space="preserve"> 2019 suppressed </w:t>
      </w:r>
      <w:r>
        <w:rPr>
          <w:rFonts w:eastAsia="Times New Roman"/>
          <w:lang w:eastAsia="en-GB"/>
        </w:rPr>
        <w:t xml:space="preserve">investment </w:t>
      </w:r>
      <w:r w:rsidRPr="002A69E6">
        <w:rPr>
          <w:rFonts w:eastAsia="Times New Roman"/>
          <w:lang w:eastAsia="en-GB"/>
        </w:rPr>
        <w:t>return</w:t>
      </w:r>
      <w:r>
        <w:rPr>
          <w:rFonts w:eastAsia="Times New Roman"/>
          <w:lang w:eastAsia="en-GB"/>
        </w:rPr>
        <w:t>s</w:t>
      </w:r>
      <w:r w:rsidRPr="002A69E6">
        <w:rPr>
          <w:rFonts w:eastAsia="Times New Roman"/>
          <w:lang w:eastAsia="en-GB"/>
        </w:rPr>
        <w:t xml:space="preserve"> </w:t>
      </w:r>
      <w:r>
        <w:rPr>
          <w:rFonts w:eastAsia="Times New Roman"/>
          <w:lang w:eastAsia="en-GB"/>
        </w:rPr>
        <w:t>are</w:t>
      </w:r>
      <w:r w:rsidRPr="002A69E6">
        <w:rPr>
          <w:rFonts w:eastAsia="Times New Roman"/>
          <w:lang w:eastAsia="en-GB"/>
        </w:rPr>
        <w:t xml:space="preserve"> likely to prevail for some time to come</w:t>
      </w:r>
      <w:r>
        <w:rPr>
          <w:rFonts w:eastAsia="Times New Roman"/>
          <w:lang w:eastAsia="en-GB"/>
        </w:rPr>
        <w:t>.</w:t>
      </w:r>
      <w:r w:rsidRPr="002A69E6">
        <w:rPr>
          <w:rFonts w:eastAsia="Times New Roman"/>
          <w:lang w:eastAsia="en-GB"/>
        </w:rPr>
        <w:t xml:space="preserve">  </w:t>
      </w:r>
    </w:p>
    <w:p w:rsidR="00AC00EE" w:rsidRPr="002A69E6" w:rsidRDefault="00AC00EE" w:rsidP="00AC00EE">
      <w:pPr>
        <w:shd w:val="clear" w:color="auto" w:fill="FFFFFF"/>
        <w:rPr>
          <w:rFonts w:eastAsia="Times New Roman"/>
          <w:lang w:eastAsia="en-GB"/>
        </w:rPr>
      </w:pPr>
    </w:p>
    <w:p w:rsidR="00AC00EE" w:rsidRDefault="00AC00EE" w:rsidP="00AC00EE">
      <w:pPr>
        <w:shd w:val="clear" w:color="auto" w:fill="FFFFFF"/>
        <w:rPr>
          <w:rFonts w:eastAsia="Times New Roman"/>
          <w:lang w:eastAsia="en-GB"/>
        </w:rPr>
      </w:pPr>
      <w:r w:rsidRPr="002A69E6">
        <w:rPr>
          <w:rFonts w:eastAsia="Times New Roman"/>
          <w:lang w:eastAsia="en-GB"/>
        </w:rPr>
        <w:t xml:space="preserve">The Council’s property investments were initially devalued downwards, but whilst the Council £7million with </w:t>
      </w:r>
      <w:proofErr w:type="spellStart"/>
      <w:r w:rsidRPr="002A69E6">
        <w:rPr>
          <w:rFonts w:eastAsia="Times New Roman"/>
          <w:lang w:eastAsia="en-GB"/>
        </w:rPr>
        <w:t>Lothbury</w:t>
      </w:r>
      <w:proofErr w:type="spellEnd"/>
      <w:r w:rsidRPr="002A69E6">
        <w:rPr>
          <w:rFonts w:eastAsia="Times New Roman"/>
          <w:lang w:eastAsia="en-GB"/>
        </w:rPr>
        <w:t xml:space="preserve"> has recovered to its pre Brexit value that of CCLA is yet to fully recover. Void rates however for both funds are low and the Council still enjoys between 4.5% and 5% returns.</w:t>
      </w:r>
    </w:p>
    <w:p w:rsidR="00AC00EE" w:rsidRDefault="00AC00EE" w:rsidP="00AC00EE">
      <w:pPr>
        <w:shd w:val="clear" w:color="auto" w:fill="FFFFFF"/>
        <w:rPr>
          <w:rFonts w:eastAsia="Times New Roman"/>
          <w:lang w:eastAsia="en-GB"/>
        </w:rPr>
      </w:pPr>
    </w:p>
    <w:p w:rsidR="00AC00EE" w:rsidRPr="002A69E6" w:rsidRDefault="00AC00EE" w:rsidP="00AC00EE">
      <w:pPr>
        <w:shd w:val="clear" w:color="auto" w:fill="FFFFFF"/>
        <w:rPr>
          <w:rFonts w:eastAsia="Times New Roman"/>
          <w:lang w:eastAsia="en-GB"/>
        </w:rPr>
      </w:pPr>
      <w:r w:rsidRPr="002A69E6">
        <w:rPr>
          <w:rFonts w:eastAsia="Times New Roman"/>
          <w:lang w:eastAsia="en-GB"/>
        </w:rPr>
        <w:t>On the plus side borrowing rates are at an all-time low which bodes well for further borrowing which the Council are forecast to do in the future especially in respect of its Housing Company.</w:t>
      </w:r>
    </w:p>
    <w:p w:rsidR="00AC00EE" w:rsidRPr="002A69E6" w:rsidRDefault="00AC00EE" w:rsidP="00AC00EE">
      <w:pPr>
        <w:shd w:val="clear" w:color="auto" w:fill="FFFFFF"/>
        <w:rPr>
          <w:rFonts w:eastAsia="Times New Roman"/>
          <w:lang w:eastAsia="en-GB"/>
        </w:rPr>
      </w:pPr>
    </w:p>
    <w:p w:rsidR="00AC00EE" w:rsidRPr="00302150" w:rsidRDefault="00AC00EE" w:rsidP="00AC00EE">
      <w:pPr>
        <w:shd w:val="clear" w:color="auto" w:fill="FFFFFF"/>
        <w:rPr>
          <w:rFonts w:eastAsia="Times New Roman"/>
          <w:lang w:eastAsia="en-GB"/>
        </w:rPr>
      </w:pPr>
      <w:r>
        <w:rPr>
          <w:rFonts w:eastAsia="Times New Roman"/>
          <w:lang w:eastAsia="en-GB"/>
        </w:rPr>
        <w:t>T</w:t>
      </w:r>
      <w:r w:rsidRPr="00302150">
        <w:rPr>
          <w:rFonts w:eastAsia="Times New Roman"/>
          <w:lang w:eastAsia="en-GB"/>
        </w:rPr>
        <w:t xml:space="preserve">he Councils </w:t>
      </w:r>
      <w:r>
        <w:rPr>
          <w:rFonts w:eastAsia="Times New Roman"/>
          <w:lang w:eastAsia="en-GB"/>
        </w:rPr>
        <w:t xml:space="preserve">main </w:t>
      </w:r>
      <w:r w:rsidRPr="00302150">
        <w:rPr>
          <w:rFonts w:eastAsia="Times New Roman"/>
          <w:lang w:eastAsia="en-GB"/>
        </w:rPr>
        <w:t xml:space="preserve">income streams </w:t>
      </w:r>
      <w:r>
        <w:rPr>
          <w:rFonts w:eastAsia="Times New Roman"/>
          <w:lang w:eastAsia="en-GB"/>
        </w:rPr>
        <w:t xml:space="preserve">seem to be holding up and if </w:t>
      </w:r>
      <w:r w:rsidRPr="00302150">
        <w:rPr>
          <w:rFonts w:eastAsia="Times New Roman"/>
          <w:lang w:eastAsia="en-GB"/>
        </w:rPr>
        <w:t>past history</w:t>
      </w:r>
      <w:r>
        <w:rPr>
          <w:rFonts w:eastAsia="Times New Roman"/>
          <w:lang w:eastAsia="en-GB"/>
        </w:rPr>
        <w:t xml:space="preserve"> is</w:t>
      </w:r>
      <w:r w:rsidRPr="00302150">
        <w:rPr>
          <w:rFonts w:eastAsia="Times New Roman"/>
          <w:lang w:eastAsia="en-GB"/>
        </w:rPr>
        <w:t xml:space="preserve"> deemed representative</w:t>
      </w:r>
      <w:r>
        <w:rPr>
          <w:rFonts w:eastAsia="Times New Roman"/>
          <w:lang w:eastAsia="en-GB"/>
        </w:rPr>
        <w:t xml:space="preserve"> then there should be </w:t>
      </w:r>
      <w:r w:rsidRPr="00302150">
        <w:rPr>
          <w:rFonts w:eastAsia="Times New Roman"/>
          <w:lang w:eastAsia="en-GB"/>
        </w:rPr>
        <w:t xml:space="preserve">limited effect in Oxford.  </w:t>
      </w:r>
    </w:p>
    <w:p w:rsidR="00AC00EE" w:rsidRPr="00302150" w:rsidRDefault="00AC00EE" w:rsidP="00AC00EE">
      <w:pPr>
        <w:shd w:val="clear" w:color="auto" w:fill="FFFFFF"/>
        <w:rPr>
          <w:rFonts w:eastAsia="Times New Roman"/>
          <w:lang w:eastAsia="en-GB"/>
        </w:rPr>
      </w:pPr>
    </w:p>
    <w:p w:rsidR="00966207" w:rsidRDefault="00AC00EE" w:rsidP="00AC00EE">
      <w:r w:rsidRPr="00302150">
        <w:rPr>
          <w:rFonts w:eastAsia="Times New Roman"/>
          <w:lang w:eastAsia="en-GB"/>
        </w:rPr>
        <w:t xml:space="preserve">Overall there is a sense that Oxford City can </w:t>
      </w:r>
      <w:r w:rsidRPr="00302150">
        <w:t xml:space="preserve">in the short term weather any subsequent adverse Brexit impact. </w:t>
      </w:r>
    </w:p>
    <w:p w:rsidR="00966207" w:rsidRDefault="00966207" w:rsidP="00AC00EE"/>
    <w:p w:rsidR="00966207" w:rsidRDefault="00AC00EE" w:rsidP="00AC00EE">
      <w:r w:rsidRPr="00302150">
        <w:t>However, if the Brexit situation results in a national recession then we will not necessarily be able to continue to be immune from such an event and the impact of national chains going insolvent and closing stores</w:t>
      </w:r>
      <w:r w:rsidR="00966207">
        <w:t xml:space="preserve">. This would in turn </w:t>
      </w:r>
      <w:r w:rsidRPr="00302150">
        <w:t>potentially affect our property funds, direct property investments</w:t>
      </w:r>
      <w:r w:rsidR="00966207">
        <w:t>,</w:t>
      </w:r>
      <w:r w:rsidRPr="00302150">
        <w:t xml:space="preserve"> our income streams and business rates. </w:t>
      </w:r>
      <w:r w:rsidR="00966207">
        <w:t>The latest news from BMW is also concerning and should this come to fruition there will inevitably be a significant impact on the city of Oxford across all sectors, the impact of which will be long lasting.</w:t>
      </w:r>
    </w:p>
    <w:p w:rsidR="00966207" w:rsidRDefault="00966207" w:rsidP="00AC00EE"/>
    <w:p w:rsidR="001D6423" w:rsidRPr="0096290D" w:rsidRDefault="003A54E0" w:rsidP="003F7EDF">
      <w:pPr>
        <w:pStyle w:val="ListParagraph"/>
        <w:numPr>
          <w:ilvl w:val="0"/>
          <w:numId w:val="8"/>
        </w:numPr>
        <w:shd w:val="clear" w:color="auto" w:fill="FFFFFF"/>
        <w:spacing w:before="240" w:after="100" w:afterAutospacing="1"/>
        <w:ind w:left="426" w:hanging="426"/>
        <w:rPr>
          <w:rFonts w:eastAsia="Times New Roman"/>
          <w:b/>
          <w:lang w:eastAsia="en-GB"/>
        </w:rPr>
      </w:pPr>
      <w:r w:rsidRPr="0096290D">
        <w:rPr>
          <w:rFonts w:eastAsia="Times New Roman"/>
          <w:b/>
          <w:lang w:eastAsia="en-GB"/>
        </w:rPr>
        <w:t>Investments and Borrowing</w:t>
      </w:r>
    </w:p>
    <w:p w:rsidR="00DB50DC" w:rsidRPr="00DB50DC" w:rsidRDefault="00DB50DC" w:rsidP="0077345C">
      <w:pPr>
        <w:pStyle w:val="ListParagraph"/>
        <w:spacing w:before="100" w:beforeAutospacing="1" w:after="100" w:afterAutospacing="1"/>
        <w:ind w:left="426"/>
        <w:rPr>
          <w:rFonts w:eastAsia="Times New Roman"/>
          <w:b/>
          <w:lang w:eastAsia="en-GB"/>
        </w:rPr>
      </w:pPr>
      <w:r w:rsidRPr="00DB50DC">
        <w:rPr>
          <w:rFonts w:eastAsia="Times New Roman"/>
          <w:b/>
          <w:lang w:eastAsia="en-GB"/>
        </w:rPr>
        <w:t>Credit Rating of UK</w:t>
      </w:r>
    </w:p>
    <w:p w:rsidR="00407EE6" w:rsidRDefault="008A59DD" w:rsidP="00DB50DC">
      <w:pPr>
        <w:pStyle w:val="ListParagraph"/>
        <w:numPr>
          <w:ilvl w:val="0"/>
          <w:numId w:val="3"/>
        </w:numPr>
        <w:spacing w:before="100" w:beforeAutospacing="1" w:after="100" w:afterAutospacing="1"/>
        <w:rPr>
          <w:rFonts w:eastAsia="Times New Roman"/>
          <w:lang w:eastAsia="en-GB"/>
        </w:rPr>
      </w:pPr>
      <w:r w:rsidRPr="00407EE6">
        <w:rPr>
          <w:rFonts w:eastAsia="Times New Roman"/>
          <w:lang w:eastAsia="en-GB"/>
        </w:rPr>
        <w:t xml:space="preserve">The UK’s </w:t>
      </w:r>
      <w:r w:rsidR="00DB50DC" w:rsidRPr="00407EE6">
        <w:rPr>
          <w:rFonts w:eastAsia="Times New Roman"/>
          <w:lang w:eastAsia="en-GB"/>
        </w:rPr>
        <w:t xml:space="preserve">Sovereign </w:t>
      </w:r>
      <w:r w:rsidR="001D6423" w:rsidRPr="00407EE6">
        <w:rPr>
          <w:rFonts w:eastAsia="Times New Roman"/>
          <w:lang w:eastAsia="en-GB"/>
        </w:rPr>
        <w:t xml:space="preserve">credit rating </w:t>
      </w:r>
      <w:r w:rsidR="00407EE6" w:rsidRPr="00407EE6">
        <w:rPr>
          <w:rFonts w:eastAsia="Times New Roman"/>
          <w:lang w:eastAsia="en-GB"/>
        </w:rPr>
        <w:t xml:space="preserve">continues to stand at AA with negative outlook with </w:t>
      </w:r>
      <w:r w:rsidRPr="00407EE6">
        <w:rPr>
          <w:rFonts w:eastAsia="Times New Roman"/>
          <w:lang w:eastAsia="en-GB"/>
        </w:rPr>
        <w:t xml:space="preserve">both </w:t>
      </w:r>
      <w:r w:rsidR="001D6423" w:rsidRPr="00407EE6">
        <w:rPr>
          <w:rFonts w:eastAsia="Times New Roman"/>
          <w:lang w:eastAsia="en-GB"/>
        </w:rPr>
        <w:t>Standard &amp;</w:t>
      </w:r>
      <w:r w:rsidR="00BD2AF7" w:rsidRPr="00407EE6">
        <w:rPr>
          <w:rFonts w:eastAsia="Times New Roman"/>
          <w:lang w:eastAsia="en-GB"/>
        </w:rPr>
        <w:t xml:space="preserve"> Poors</w:t>
      </w:r>
      <w:r w:rsidRPr="00407EE6">
        <w:rPr>
          <w:rFonts w:eastAsia="Times New Roman"/>
          <w:lang w:eastAsia="en-GB"/>
        </w:rPr>
        <w:t xml:space="preserve"> and Fitch</w:t>
      </w:r>
      <w:r w:rsidR="00407EE6" w:rsidRPr="00407EE6">
        <w:rPr>
          <w:rFonts w:eastAsia="Times New Roman"/>
          <w:lang w:eastAsia="en-GB"/>
        </w:rPr>
        <w:t>.  This reflects the</w:t>
      </w:r>
      <w:r w:rsidR="005B1D31">
        <w:rPr>
          <w:rFonts w:eastAsia="Times New Roman"/>
          <w:lang w:eastAsia="en-GB"/>
        </w:rPr>
        <w:t xml:space="preserve">ir view of the economic </w:t>
      </w:r>
      <w:r w:rsidR="00407EE6" w:rsidRPr="00407EE6">
        <w:rPr>
          <w:rFonts w:eastAsia="Times New Roman"/>
          <w:lang w:eastAsia="en-GB"/>
        </w:rPr>
        <w:t xml:space="preserve">uncertainty </w:t>
      </w:r>
      <w:r w:rsidR="001D6423" w:rsidRPr="00407EE6">
        <w:rPr>
          <w:rFonts w:eastAsia="Times New Roman"/>
          <w:lang w:eastAsia="en-GB"/>
        </w:rPr>
        <w:t xml:space="preserve">following the Brexit vote </w:t>
      </w:r>
      <w:r w:rsidR="00AB0FD1">
        <w:rPr>
          <w:rFonts w:eastAsia="Times New Roman"/>
          <w:lang w:eastAsia="en-GB"/>
        </w:rPr>
        <w:t xml:space="preserve">and </w:t>
      </w:r>
      <w:r w:rsidR="00185975">
        <w:rPr>
          <w:rFonts w:eastAsia="Times New Roman"/>
          <w:lang w:eastAsia="en-GB"/>
        </w:rPr>
        <w:t xml:space="preserve">the expectation of </w:t>
      </w:r>
      <w:r w:rsidR="00407EE6" w:rsidRPr="00407EE6">
        <w:rPr>
          <w:rFonts w:eastAsia="Times New Roman"/>
          <w:lang w:eastAsia="en-GB"/>
        </w:rPr>
        <w:t>slow</w:t>
      </w:r>
      <w:r w:rsidR="00AB0FD1">
        <w:rPr>
          <w:rFonts w:eastAsia="Times New Roman"/>
          <w:lang w:eastAsia="en-GB"/>
        </w:rPr>
        <w:t>er</w:t>
      </w:r>
      <w:r w:rsidR="00407EE6" w:rsidRPr="00407EE6">
        <w:rPr>
          <w:rFonts w:eastAsia="Times New Roman"/>
          <w:lang w:eastAsia="en-GB"/>
        </w:rPr>
        <w:t xml:space="preserve"> </w:t>
      </w:r>
      <w:r w:rsidR="005B1D31">
        <w:rPr>
          <w:rFonts w:eastAsia="Times New Roman"/>
          <w:lang w:eastAsia="en-GB"/>
        </w:rPr>
        <w:t xml:space="preserve">UK economic </w:t>
      </w:r>
      <w:r w:rsidR="001D6423" w:rsidRPr="00407EE6">
        <w:rPr>
          <w:rFonts w:eastAsia="Times New Roman"/>
          <w:lang w:eastAsia="en-GB"/>
        </w:rPr>
        <w:t>growth</w:t>
      </w:r>
      <w:r w:rsidR="00AB0FD1">
        <w:rPr>
          <w:rFonts w:eastAsia="Times New Roman"/>
          <w:lang w:eastAsia="en-GB"/>
        </w:rPr>
        <w:t xml:space="preserve"> over the medium term</w:t>
      </w:r>
      <w:r w:rsidR="00407EE6" w:rsidRPr="00407EE6">
        <w:rPr>
          <w:rFonts w:eastAsia="Times New Roman"/>
          <w:lang w:eastAsia="en-GB"/>
        </w:rPr>
        <w:t>.</w:t>
      </w:r>
    </w:p>
    <w:p w:rsidR="00DB50DC" w:rsidRPr="00407EE6" w:rsidRDefault="00DB50DC" w:rsidP="00DB50DC">
      <w:pPr>
        <w:pStyle w:val="ListParagraph"/>
        <w:numPr>
          <w:ilvl w:val="0"/>
          <w:numId w:val="3"/>
        </w:numPr>
        <w:spacing w:before="100" w:beforeAutospacing="1" w:after="100" w:afterAutospacing="1"/>
        <w:rPr>
          <w:rFonts w:eastAsia="Times New Roman"/>
          <w:lang w:eastAsia="en-GB"/>
        </w:rPr>
      </w:pPr>
      <w:r w:rsidRPr="00407EE6">
        <w:rPr>
          <w:rFonts w:eastAsia="Times New Roman"/>
          <w:lang w:eastAsia="en-GB"/>
        </w:rPr>
        <w:t xml:space="preserve">Moodys </w:t>
      </w:r>
      <w:r w:rsidR="00BD2AF7" w:rsidRPr="00407EE6">
        <w:rPr>
          <w:rFonts w:eastAsia="Times New Roman"/>
          <w:lang w:eastAsia="en-GB"/>
        </w:rPr>
        <w:t xml:space="preserve">which use a slightly different rating system </w:t>
      </w:r>
      <w:r w:rsidRPr="00407EE6">
        <w:rPr>
          <w:rFonts w:eastAsia="Times New Roman"/>
          <w:lang w:eastAsia="en-GB"/>
        </w:rPr>
        <w:t xml:space="preserve">have </w:t>
      </w:r>
      <w:r w:rsidR="003A54E0" w:rsidRPr="00407EE6">
        <w:rPr>
          <w:rFonts w:eastAsia="Times New Roman"/>
          <w:lang w:eastAsia="en-GB"/>
        </w:rPr>
        <w:t xml:space="preserve">placed the </w:t>
      </w:r>
      <w:r w:rsidR="00BD2AF7" w:rsidRPr="00407EE6">
        <w:rPr>
          <w:rFonts w:eastAsia="Times New Roman"/>
          <w:lang w:eastAsia="en-GB"/>
        </w:rPr>
        <w:t xml:space="preserve">UK’s </w:t>
      </w:r>
      <w:r w:rsidR="003A54E0" w:rsidRPr="00407EE6">
        <w:rPr>
          <w:rFonts w:eastAsia="Times New Roman"/>
          <w:lang w:eastAsia="en-GB"/>
        </w:rPr>
        <w:t xml:space="preserve">rating on </w:t>
      </w:r>
      <w:r w:rsidR="00407EE6">
        <w:rPr>
          <w:rFonts w:eastAsia="Times New Roman"/>
          <w:lang w:eastAsia="en-GB"/>
        </w:rPr>
        <w:t>stable</w:t>
      </w:r>
      <w:r w:rsidR="003A54E0" w:rsidRPr="00407EE6">
        <w:rPr>
          <w:rFonts w:eastAsia="Times New Roman"/>
          <w:lang w:eastAsia="en-GB"/>
        </w:rPr>
        <w:t xml:space="preserve"> outlook</w:t>
      </w:r>
      <w:r w:rsidR="005B1D31">
        <w:rPr>
          <w:rFonts w:eastAsia="Times New Roman"/>
          <w:lang w:eastAsia="en-GB"/>
        </w:rPr>
        <w:t>, but warn</w:t>
      </w:r>
      <w:r w:rsidR="00185975">
        <w:rPr>
          <w:rFonts w:eastAsia="Times New Roman"/>
          <w:lang w:eastAsia="en-GB"/>
        </w:rPr>
        <w:t>s</w:t>
      </w:r>
      <w:r w:rsidR="005B1D31">
        <w:rPr>
          <w:rFonts w:eastAsia="Times New Roman"/>
          <w:lang w:eastAsia="en-GB"/>
        </w:rPr>
        <w:t xml:space="preserve"> of weaker growth than it would otherwise have been without the Brexit vote.</w:t>
      </w:r>
    </w:p>
    <w:p w:rsidR="003A194D" w:rsidRDefault="001D6423" w:rsidP="00DB50DC">
      <w:pPr>
        <w:pStyle w:val="ListParagraph"/>
        <w:numPr>
          <w:ilvl w:val="0"/>
          <w:numId w:val="3"/>
        </w:numPr>
        <w:spacing w:before="100" w:beforeAutospacing="1" w:after="100" w:afterAutospacing="1"/>
      </w:pPr>
      <w:r w:rsidRPr="004D0124">
        <w:t xml:space="preserve">The UK </w:t>
      </w:r>
      <w:r w:rsidR="005B1D31">
        <w:t xml:space="preserve">continues to be </w:t>
      </w:r>
      <w:r w:rsidRPr="004D0124">
        <w:t>deemed less credit worthy than the US</w:t>
      </w:r>
      <w:r w:rsidR="005B1D31">
        <w:t>.</w:t>
      </w:r>
      <w:r w:rsidRPr="004D0124">
        <w:t xml:space="preserve"> </w:t>
      </w:r>
    </w:p>
    <w:p w:rsidR="001D6423" w:rsidRPr="005E12AD" w:rsidRDefault="009D0DE7" w:rsidP="00DB50DC">
      <w:pPr>
        <w:pStyle w:val="ListParagraph"/>
        <w:numPr>
          <w:ilvl w:val="0"/>
          <w:numId w:val="3"/>
        </w:numPr>
        <w:spacing w:before="100" w:beforeAutospacing="1" w:after="100" w:afterAutospacing="1"/>
        <w:rPr>
          <w:rFonts w:eastAsia="Times New Roman"/>
          <w:lang w:eastAsia="en-GB"/>
        </w:rPr>
      </w:pPr>
      <w:r>
        <w:t>Y</w:t>
      </w:r>
      <w:r w:rsidR="001D6423" w:rsidRPr="00103B13">
        <w:t>ield</w:t>
      </w:r>
      <w:r>
        <w:t>s</w:t>
      </w:r>
      <w:r w:rsidR="001D6423" w:rsidRPr="00103B13">
        <w:t xml:space="preserve"> on 10-year Government bonds </w:t>
      </w:r>
      <w:r>
        <w:t xml:space="preserve">have </w:t>
      </w:r>
      <w:r w:rsidR="005B1D31">
        <w:t>recovered from their h</w:t>
      </w:r>
      <w:r>
        <w:t>istoric low levels</w:t>
      </w:r>
      <w:r w:rsidR="005E12AD">
        <w:t xml:space="preserve"> </w:t>
      </w:r>
      <w:r w:rsidR="00AB0FD1">
        <w:t xml:space="preserve">in June </w:t>
      </w:r>
      <w:r w:rsidR="001D6423" w:rsidRPr="00103B13">
        <w:t xml:space="preserve">as </w:t>
      </w:r>
      <w:r w:rsidR="00AB0FD1">
        <w:t>markets</w:t>
      </w:r>
      <w:r w:rsidR="00D410E6">
        <w:t xml:space="preserve"> have stabilised since the Brexit vote.</w:t>
      </w:r>
      <w:r w:rsidR="00AB0FD1">
        <w:t xml:space="preserve"> </w:t>
      </w:r>
    </w:p>
    <w:p w:rsidR="00E803DA" w:rsidRPr="00103B13" w:rsidRDefault="00E803DA" w:rsidP="00E803DA">
      <w:pPr>
        <w:pStyle w:val="ListParagraph"/>
        <w:numPr>
          <w:ilvl w:val="0"/>
          <w:numId w:val="3"/>
        </w:numPr>
        <w:spacing w:before="100" w:beforeAutospacing="1" w:after="100" w:afterAutospacing="1"/>
        <w:rPr>
          <w:rFonts w:eastAsia="Times New Roman"/>
          <w:lang w:eastAsia="en-GB"/>
        </w:rPr>
      </w:pPr>
      <w:r w:rsidRPr="00E803DA">
        <w:rPr>
          <w:rFonts w:eastAsia="Times New Roman"/>
          <w:lang w:eastAsia="en-GB"/>
        </w:rPr>
        <w:t xml:space="preserve">The shareholders of the European Investment Bank </w:t>
      </w:r>
      <w:r>
        <w:rPr>
          <w:rFonts w:eastAsia="Times New Roman"/>
          <w:lang w:eastAsia="en-GB"/>
        </w:rPr>
        <w:t xml:space="preserve">(EIB) </w:t>
      </w:r>
      <w:r w:rsidRPr="00E803DA">
        <w:rPr>
          <w:rFonts w:eastAsia="Times New Roman"/>
          <w:lang w:eastAsia="en-GB"/>
        </w:rPr>
        <w:t>are the 28 Member States of the European Union</w:t>
      </w:r>
      <w:r>
        <w:rPr>
          <w:rFonts w:eastAsia="Times New Roman"/>
          <w:lang w:eastAsia="en-GB"/>
        </w:rPr>
        <w:t xml:space="preserve"> and the </w:t>
      </w:r>
      <w:r w:rsidRPr="00E803DA">
        <w:rPr>
          <w:rFonts w:eastAsia="Times New Roman"/>
          <w:lang w:eastAsia="en-GB"/>
        </w:rPr>
        <w:t>UK has a 16.11% shareholding in the EIB</w:t>
      </w:r>
      <w:r>
        <w:rPr>
          <w:rFonts w:eastAsia="Times New Roman"/>
          <w:lang w:eastAsia="en-GB"/>
        </w:rPr>
        <w:t xml:space="preserve">.  </w:t>
      </w:r>
      <w:r w:rsidRPr="00E803DA">
        <w:rPr>
          <w:rFonts w:eastAsia="Times New Roman"/>
          <w:lang w:eastAsia="en-GB"/>
        </w:rPr>
        <w:t>At present the UK shareholding in the EIB remains and the EIB’s engagement in the UK is unchanged</w:t>
      </w:r>
      <w:r>
        <w:rPr>
          <w:rFonts w:eastAsia="Times New Roman"/>
          <w:lang w:eastAsia="en-GB"/>
        </w:rPr>
        <w:t xml:space="preserve">, however it is likely that the </w:t>
      </w:r>
      <w:r w:rsidRPr="00E803DA">
        <w:rPr>
          <w:rFonts w:eastAsia="Times New Roman"/>
          <w:lang w:eastAsia="en-GB"/>
        </w:rPr>
        <w:t xml:space="preserve">EIB’s engagement in the UK </w:t>
      </w:r>
      <w:r>
        <w:rPr>
          <w:rFonts w:eastAsia="Times New Roman"/>
          <w:lang w:eastAsia="en-GB"/>
        </w:rPr>
        <w:t>will form part of the</w:t>
      </w:r>
      <w:r w:rsidRPr="00E803DA">
        <w:rPr>
          <w:rFonts w:eastAsia="Times New Roman"/>
          <w:lang w:eastAsia="en-GB"/>
        </w:rPr>
        <w:t xml:space="preserve"> broader discussions to define the future relationship of the UK with Europe and European bodies</w:t>
      </w:r>
      <w:r>
        <w:rPr>
          <w:rFonts w:eastAsia="Times New Roman"/>
          <w:lang w:eastAsia="en-GB"/>
        </w:rPr>
        <w:t>.</w:t>
      </w:r>
    </w:p>
    <w:p w:rsidR="00B63B1C" w:rsidRPr="00DB50DC" w:rsidRDefault="00B63B1C" w:rsidP="00B63B1C">
      <w:pPr>
        <w:pStyle w:val="ListParagraph"/>
        <w:spacing w:before="100" w:beforeAutospacing="1" w:after="100" w:afterAutospacing="1"/>
        <w:ind w:left="1080"/>
        <w:rPr>
          <w:rFonts w:eastAsia="Times New Roman"/>
          <w:highlight w:val="yellow"/>
          <w:lang w:eastAsia="en-GB"/>
        </w:rPr>
      </w:pPr>
    </w:p>
    <w:p w:rsidR="003A54E0" w:rsidRPr="001A5176" w:rsidRDefault="003A54E0" w:rsidP="003F7EDF">
      <w:pPr>
        <w:pStyle w:val="ListParagraph"/>
        <w:numPr>
          <w:ilvl w:val="0"/>
          <w:numId w:val="8"/>
        </w:numPr>
        <w:shd w:val="clear" w:color="auto" w:fill="FFFFFF"/>
        <w:spacing w:before="240" w:after="100" w:afterAutospacing="1"/>
        <w:ind w:left="426" w:hanging="426"/>
        <w:outlineLvl w:val="1"/>
        <w:rPr>
          <w:rFonts w:eastAsia="Times New Roman"/>
          <w:b/>
          <w:bCs/>
          <w:lang w:eastAsia="en-GB"/>
        </w:rPr>
      </w:pPr>
      <w:r w:rsidRPr="001A5176">
        <w:rPr>
          <w:rFonts w:eastAsia="Times New Roman"/>
          <w:b/>
          <w:bCs/>
          <w:lang w:eastAsia="en-GB"/>
        </w:rPr>
        <w:t>Interest rates</w:t>
      </w:r>
    </w:p>
    <w:p w:rsidR="005104DF" w:rsidRDefault="003A54E0" w:rsidP="0077345C">
      <w:pPr>
        <w:shd w:val="clear" w:color="auto" w:fill="FFFFFF"/>
        <w:spacing w:before="240" w:after="100" w:afterAutospacing="1"/>
        <w:ind w:left="426"/>
        <w:rPr>
          <w:rFonts w:eastAsia="Times New Roman"/>
          <w:lang w:eastAsia="en-GB"/>
        </w:rPr>
      </w:pPr>
      <w:r w:rsidRPr="001A5176">
        <w:rPr>
          <w:rFonts w:eastAsia="Times New Roman"/>
          <w:lang w:eastAsia="en-GB"/>
        </w:rPr>
        <w:t xml:space="preserve">The Bank of England's Monetary Policy Committee </w:t>
      </w:r>
      <w:r w:rsidR="00162EB3">
        <w:rPr>
          <w:rFonts w:eastAsia="Times New Roman"/>
          <w:lang w:eastAsia="en-GB"/>
        </w:rPr>
        <w:t xml:space="preserve">cut </w:t>
      </w:r>
      <w:r w:rsidR="00D410E6">
        <w:rPr>
          <w:rFonts w:eastAsia="Times New Roman"/>
          <w:lang w:eastAsia="en-GB"/>
        </w:rPr>
        <w:t xml:space="preserve">bank base rates </w:t>
      </w:r>
      <w:r w:rsidR="00162EB3">
        <w:rPr>
          <w:rFonts w:eastAsia="Times New Roman"/>
          <w:lang w:eastAsia="en-GB"/>
        </w:rPr>
        <w:t>by 0</w:t>
      </w:r>
      <w:r w:rsidR="00621396">
        <w:rPr>
          <w:rFonts w:eastAsia="Times New Roman"/>
          <w:lang w:eastAsia="en-GB"/>
        </w:rPr>
        <w:t>.</w:t>
      </w:r>
      <w:r w:rsidR="00162EB3">
        <w:rPr>
          <w:rFonts w:eastAsia="Times New Roman"/>
          <w:lang w:eastAsia="en-GB"/>
        </w:rPr>
        <w:t xml:space="preserve">25% to </w:t>
      </w:r>
      <w:r w:rsidR="00376B69">
        <w:rPr>
          <w:rFonts w:eastAsia="Times New Roman"/>
          <w:lang w:eastAsia="en-GB"/>
        </w:rPr>
        <w:t>0.</w:t>
      </w:r>
      <w:r w:rsidR="00FE7128">
        <w:rPr>
          <w:rFonts w:eastAsia="Times New Roman"/>
          <w:lang w:eastAsia="en-GB"/>
        </w:rPr>
        <w:t xml:space="preserve">25% </w:t>
      </w:r>
      <w:r w:rsidR="00162EB3">
        <w:rPr>
          <w:rFonts w:eastAsia="Times New Roman"/>
          <w:lang w:eastAsia="en-GB"/>
        </w:rPr>
        <w:t xml:space="preserve">in </w:t>
      </w:r>
      <w:r w:rsidR="00D410E6">
        <w:rPr>
          <w:rFonts w:eastAsia="Times New Roman"/>
          <w:lang w:eastAsia="en-GB"/>
        </w:rPr>
        <w:t>August 2016</w:t>
      </w:r>
      <w:r w:rsidR="004B6F12">
        <w:rPr>
          <w:rFonts w:eastAsia="Times New Roman"/>
          <w:lang w:eastAsia="en-GB"/>
        </w:rPr>
        <w:t>.  Base rate</w:t>
      </w:r>
      <w:r w:rsidR="00162EB3">
        <w:rPr>
          <w:rFonts w:eastAsia="Times New Roman"/>
          <w:lang w:eastAsia="en-GB"/>
        </w:rPr>
        <w:t xml:space="preserve"> look</w:t>
      </w:r>
      <w:r w:rsidR="004B6F12">
        <w:rPr>
          <w:rFonts w:eastAsia="Times New Roman"/>
          <w:lang w:eastAsia="en-GB"/>
        </w:rPr>
        <w:t>s</w:t>
      </w:r>
      <w:r w:rsidR="00162EB3">
        <w:rPr>
          <w:rFonts w:eastAsia="Times New Roman"/>
          <w:lang w:eastAsia="en-GB"/>
        </w:rPr>
        <w:t xml:space="preserve"> set to remain low for the foreseeable future</w:t>
      </w:r>
      <w:r w:rsidR="00F561EC">
        <w:rPr>
          <w:rFonts w:eastAsia="Times New Roman"/>
          <w:lang w:eastAsia="en-GB"/>
        </w:rPr>
        <w:t>.</w:t>
      </w:r>
    </w:p>
    <w:p w:rsidR="001D6423" w:rsidRPr="001A5176" w:rsidRDefault="00F561EC" w:rsidP="0077345C">
      <w:pPr>
        <w:shd w:val="clear" w:color="auto" w:fill="FFFFFF"/>
        <w:spacing w:before="240" w:after="100" w:afterAutospacing="1"/>
        <w:ind w:left="426"/>
      </w:pPr>
      <w:r>
        <w:t>The Ba</w:t>
      </w:r>
      <w:r w:rsidR="003A54E0" w:rsidRPr="001A5176">
        <w:t xml:space="preserve">nk of England </w:t>
      </w:r>
      <w:r w:rsidR="00C86F99">
        <w:t xml:space="preserve">continued with their </w:t>
      </w:r>
      <w:r w:rsidR="003A54E0" w:rsidRPr="001A5176">
        <w:t>Quantitative Easing programme</w:t>
      </w:r>
      <w:r w:rsidR="00C86F99">
        <w:t xml:space="preserve"> buying corporate bonds</w:t>
      </w:r>
      <w:r w:rsidR="003A54E0" w:rsidRPr="001A5176">
        <w:t>, in order to support the British economy.</w:t>
      </w:r>
      <w:r w:rsidR="00C86F99">
        <w:t xml:space="preserve">  In addition the Term Funding Scheme which gives cheap funds to banks has continued.  Both of these </w:t>
      </w:r>
      <w:r w:rsidR="003A54E0" w:rsidRPr="001A5176">
        <w:t xml:space="preserve">measures mean that banks </w:t>
      </w:r>
      <w:r w:rsidR="00C86F99">
        <w:t>are not s</w:t>
      </w:r>
      <w:r w:rsidR="003A54E0" w:rsidRPr="001A5176">
        <w:t>hort of cheap funds, which means</w:t>
      </w:r>
      <w:r w:rsidR="00162EB3">
        <w:t xml:space="preserve"> </w:t>
      </w:r>
      <w:r w:rsidR="004B6F12">
        <w:t>t</w:t>
      </w:r>
      <w:r w:rsidR="003A54E0" w:rsidRPr="001A5176">
        <w:t xml:space="preserve">hey don’t need to offer </w:t>
      </w:r>
      <w:r w:rsidR="0038661E">
        <w:t xml:space="preserve">very </w:t>
      </w:r>
      <w:r w:rsidR="003A54E0" w:rsidRPr="001A5176">
        <w:t>competitive investment rates</w:t>
      </w:r>
      <w:r w:rsidR="00103B13">
        <w:t>.</w:t>
      </w:r>
    </w:p>
    <w:p w:rsidR="003A54E0" w:rsidRPr="001A5176" w:rsidRDefault="003A54E0" w:rsidP="0077345C">
      <w:pPr>
        <w:shd w:val="clear" w:color="auto" w:fill="FFFFFF"/>
        <w:spacing w:before="240" w:after="100" w:afterAutospacing="1"/>
        <w:ind w:left="426"/>
      </w:pPr>
      <w:r w:rsidRPr="006D33D4">
        <w:t>Capita</w:t>
      </w:r>
      <w:r w:rsidR="00BB1D91" w:rsidRPr="006D33D4">
        <w:t>;</w:t>
      </w:r>
      <w:r w:rsidRPr="006D33D4">
        <w:t xml:space="preserve"> </w:t>
      </w:r>
      <w:r w:rsidR="00BB1D91" w:rsidRPr="006D33D4">
        <w:t xml:space="preserve">the Council’s Treasury advisors </w:t>
      </w:r>
      <w:r w:rsidRPr="006D33D4">
        <w:t xml:space="preserve">have revised their interest rate forecasts and expect base rate </w:t>
      </w:r>
      <w:r w:rsidR="00C86F99">
        <w:t xml:space="preserve">to remain at </w:t>
      </w:r>
      <w:r w:rsidR="004269F4">
        <w:t>0</w:t>
      </w:r>
      <w:r w:rsidR="00C86F99">
        <w:t xml:space="preserve">.25% throughout 2017 and 2018 </w:t>
      </w:r>
      <w:r w:rsidR="00B00404">
        <w:t xml:space="preserve">before rising </w:t>
      </w:r>
      <w:r w:rsidR="005A1923">
        <w:t>0</w:t>
      </w:r>
      <w:r w:rsidR="00B00404">
        <w:t>.50% in spring 2019</w:t>
      </w:r>
      <w:r w:rsidR="00A37A68" w:rsidRPr="006D33D4">
        <w:t>. This is shown in the table below</w:t>
      </w:r>
      <w:r w:rsidR="00103B13" w:rsidRPr="006D33D4">
        <w:t>.</w:t>
      </w:r>
    </w:p>
    <w:p w:rsidR="00830638" w:rsidRDefault="004104C3" w:rsidP="00830638">
      <w:pPr>
        <w:shd w:val="clear" w:color="auto" w:fill="FFFFFF"/>
        <w:spacing w:before="240" w:after="100" w:afterAutospacing="1"/>
        <w:ind w:left="720"/>
        <w:rPr>
          <w:highlight w:val="yellow"/>
        </w:rPr>
      </w:pPr>
      <w:r>
        <w:rPr>
          <w:noProof/>
          <w:lang w:eastAsia="en-GB"/>
        </w:rPr>
        <w:drawing>
          <wp:inline distT="0" distB="0" distL="0" distR="0" wp14:anchorId="1AF6E15B" wp14:editId="300A8B29">
            <wp:extent cx="5581650" cy="14567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79178" cy="1456146"/>
                    </a:xfrm>
                    <a:prstGeom prst="rect">
                      <a:avLst/>
                    </a:prstGeom>
                  </pic:spPr>
                </pic:pic>
              </a:graphicData>
            </a:graphic>
          </wp:inline>
        </w:drawing>
      </w:r>
    </w:p>
    <w:p w:rsidR="004D5DD8" w:rsidRDefault="00582293" w:rsidP="00830638">
      <w:pPr>
        <w:shd w:val="clear" w:color="auto" w:fill="FFFFFF"/>
        <w:spacing w:before="240" w:after="100" w:afterAutospacing="1"/>
        <w:ind w:left="720"/>
      </w:pPr>
      <w:r>
        <w:t>P</w:t>
      </w:r>
      <w:r w:rsidR="00A37A68" w:rsidRPr="006A2789">
        <w:t xml:space="preserve">WLB </w:t>
      </w:r>
      <w:r w:rsidR="00B63B1C" w:rsidRPr="006A2789">
        <w:t>borrowing</w:t>
      </w:r>
      <w:r w:rsidR="00A37A68" w:rsidRPr="006A2789">
        <w:t xml:space="preserve"> rate</w:t>
      </w:r>
      <w:r>
        <w:t xml:space="preserve">s </w:t>
      </w:r>
      <w:r w:rsidR="0081023C">
        <w:t xml:space="preserve">increased slightly </w:t>
      </w:r>
      <w:r w:rsidR="00185975">
        <w:t xml:space="preserve">during </w:t>
      </w:r>
      <w:r w:rsidR="0081023C">
        <w:t>the autumn</w:t>
      </w:r>
      <w:r w:rsidR="00185975">
        <w:t xml:space="preserve">/winter </w:t>
      </w:r>
      <w:r w:rsidR="0081023C">
        <w:t xml:space="preserve">as some the concerns over Brexit have decreased but rates </w:t>
      </w:r>
      <w:r>
        <w:t xml:space="preserve">are still down </w:t>
      </w:r>
      <w:r w:rsidR="008C2901" w:rsidRPr="006A2789">
        <w:t>to historically low levels</w:t>
      </w:r>
      <w:r w:rsidR="00A37A68" w:rsidRPr="006A2789">
        <w:t>.</w:t>
      </w:r>
      <w:r w:rsidR="0081023C">
        <w:t xml:space="preserve">  </w:t>
      </w:r>
      <w:r w:rsidR="008C2901" w:rsidRPr="006A2789">
        <w:t>See chart below.</w:t>
      </w:r>
    </w:p>
    <w:p w:rsidR="00163F96" w:rsidRPr="00830638" w:rsidRDefault="00582293" w:rsidP="00830638">
      <w:pPr>
        <w:shd w:val="clear" w:color="auto" w:fill="FFFFFF"/>
        <w:spacing w:before="240" w:after="100" w:afterAutospacing="1"/>
        <w:ind w:left="720"/>
      </w:pPr>
      <w:r>
        <w:rPr>
          <w:noProof/>
          <w:lang w:eastAsia="en-GB"/>
        </w:rPr>
        <w:drawing>
          <wp:inline distT="0" distB="0" distL="0" distR="0" wp14:anchorId="5052BE99" wp14:editId="1166C0E9">
            <wp:extent cx="5467350" cy="3495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73522" cy="3499621"/>
                    </a:xfrm>
                    <a:prstGeom prst="rect">
                      <a:avLst/>
                    </a:prstGeom>
                  </pic:spPr>
                </pic:pic>
              </a:graphicData>
            </a:graphic>
          </wp:inline>
        </w:drawing>
      </w:r>
    </w:p>
    <w:p w:rsidR="00A37A68" w:rsidRPr="00E00B7F" w:rsidRDefault="00A37A68" w:rsidP="003F7EDF">
      <w:pPr>
        <w:pStyle w:val="ListParagraph"/>
        <w:numPr>
          <w:ilvl w:val="0"/>
          <w:numId w:val="8"/>
        </w:numPr>
        <w:ind w:left="426" w:hanging="426"/>
        <w:rPr>
          <w:b/>
        </w:rPr>
      </w:pPr>
      <w:r w:rsidRPr="00E00B7F">
        <w:rPr>
          <w:b/>
        </w:rPr>
        <w:t>City Counc</w:t>
      </w:r>
      <w:r w:rsidR="00830638" w:rsidRPr="00E00B7F">
        <w:rPr>
          <w:b/>
        </w:rPr>
        <w:t>i</w:t>
      </w:r>
      <w:r w:rsidRPr="00E00B7F">
        <w:rPr>
          <w:b/>
        </w:rPr>
        <w:t xml:space="preserve">l </w:t>
      </w:r>
      <w:r w:rsidR="00B63B1C" w:rsidRPr="00E00B7F">
        <w:rPr>
          <w:b/>
        </w:rPr>
        <w:t>Investments</w:t>
      </w:r>
    </w:p>
    <w:p w:rsidR="00257D66" w:rsidRPr="006A2789" w:rsidRDefault="00A37A68" w:rsidP="00D633AF">
      <w:pPr>
        <w:ind w:left="426"/>
      </w:pPr>
      <w:r w:rsidRPr="006A2789">
        <w:t xml:space="preserve">As at the </w:t>
      </w:r>
      <w:r w:rsidR="0081023C">
        <w:t>28</w:t>
      </w:r>
      <w:r w:rsidR="00E803DA" w:rsidRPr="00E803DA">
        <w:rPr>
          <w:vertAlign w:val="superscript"/>
        </w:rPr>
        <w:t>t</w:t>
      </w:r>
      <w:r w:rsidR="0081023C">
        <w:rPr>
          <w:vertAlign w:val="superscript"/>
        </w:rPr>
        <w:t>h</w:t>
      </w:r>
      <w:r w:rsidR="00E803DA">
        <w:t xml:space="preserve"> </w:t>
      </w:r>
      <w:r w:rsidR="0081023C">
        <w:t>February</w:t>
      </w:r>
      <w:r w:rsidR="00830638" w:rsidRPr="006A2789">
        <w:t xml:space="preserve"> </w:t>
      </w:r>
      <w:r w:rsidR="005A1923">
        <w:t xml:space="preserve">2017 </w:t>
      </w:r>
      <w:r w:rsidRPr="006A2789">
        <w:t xml:space="preserve">the Council held </w:t>
      </w:r>
      <w:r w:rsidR="00DA5C05" w:rsidRPr="006A2789">
        <w:t>£</w:t>
      </w:r>
      <w:r w:rsidR="0081023C">
        <w:t>84.7</w:t>
      </w:r>
      <w:r w:rsidR="00DA5C05" w:rsidRPr="006A2789">
        <w:t xml:space="preserve"> million</w:t>
      </w:r>
      <w:r w:rsidRPr="006A2789">
        <w:t xml:space="preserve"> of Investments in the following institutions</w:t>
      </w:r>
      <w:r w:rsidR="00E803DA">
        <w:t>:</w:t>
      </w:r>
    </w:p>
    <w:tbl>
      <w:tblPr>
        <w:tblStyle w:val="TableGrid"/>
        <w:tblW w:w="0" w:type="auto"/>
        <w:tblInd w:w="720" w:type="dxa"/>
        <w:tblLook w:val="04A0" w:firstRow="1" w:lastRow="0" w:firstColumn="1" w:lastColumn="0" w:noHBand="0" w:noVBand="1"/>
      </w:tblPr>
      <w:tblGrid>
        <w:gridCol w:w="2223"/>
        <w:gridCol w:w="1276"/>
        <w:gridCol w:w="1670"/>
        <w:gridCol w:w="1856"/>
        <w:gridCol w:w="1294"/>
      </w:tblGrid>
      <w:tr w:rsidR="00A37A68" w:rsidRPr="006A2789" w:rsidTr="00D633AF">
        <w:tc>
          <w:tcPr>
            <w:tcW w:w="2223" w:type="dxa"/>
            <w:shd w:val="clear" w:color="auto" w:fill="D9D9D9" w:themeFill="background1" w:themeFillShade="D9"/>
          </w:tcPr>
          <w:p w:rsidR="00A37A68" w:rsidRPr="006A2789" w:rsidRDefault="00A37A68" w:rsidP="00A37A68">
            <w:pPr>
              <w:rPr>
                <w:b/>
              </w:rPr>
            </w:pPr>
          </w:p>
        </w:tc>
        <w:tc>
          <w:tcPr>
            <w:tcW w:w="6096" w:type="dxa"/>
            <w:gridSpan w:val="4"/>
            <w:shd w:val="clear" w:color="auto" w:fill="D9D9D9" w:themeFill="background1" w:themeFillShade="D9"/>
          </w:tcPr>
          <w:p w:rsidR="00A37A68" w:rsidRPr="006A2789" w:rsidRDefault="00A37A68" w:rsidP="00A37A68">
            <w:pPr>
              <w:jc w:val="center"/>
              <w:rPr>
                <w:b/>
              </w:rPr>
            </w:pPr>
            <w:r w:rsidRPr="006A2789">
              <w:rPr>
                <w:b/>
              </w:rPr>
              <w:t>Maturity Period</w:t>
            </w:r>
          </w:p>
        </w:tc>
      </w:tr>
      <w:tr w:rsidR="00A37A68" w:rsidRPr="006A2789" w:rsidTr="00D633AF">
        <w:tc>
          <w:tcPr>
            <w:tcW w:w="2223" w:type="dxa"/>
            <w:shd w:val="clear" w:color="auto" w:fill="D9D9D9" w:themeFill="background1" w:themeFillShade="D9"/>
          </w:tcPr>
          <w:p w:rsidR="00A37A68" w:rsidRPr="006A2789" w:rsidRDefault="00A37A68" w:rsidP="00A37A68">
            <w:pPr>
              <w:rPr>
                <w:b/>
              </w:rPr>
            </w:pPr>
          </w:p>
        </w:tc>
        <w:tc>
          <w:tcPr>
            <w:tcW w:w="1276" w:type="dxa"/>
            <w:shd w:val="clear" w:color="auto" w:fill="D9D9D9" w:themeFill="background1" w:themeFillShade="D9"/>
          </w:tcPr>
          <w:p w:rsidR="00A37A68" w:rsidRPr="006A2789" w:rsidRDefault="00A37A68" w:rsidP="00A37A68">
            <w:pPr>
              <w:jc w:val="center"/>
              <w:rPr>
                <w:b/>
              </w:rPr>
            </w:pPr>
            <w:r w:rsidRPr="006A2789">
              <w:rPr>
                <w:b/>
              </w:rPr>
              <w:t>0-3 months</w:t>
            </w:r>
          </w:p>
        </w:tc>
        <w:tc>
          <w:tcPr>
            <w:tcW w:w="1670" w:type="dxa"/>
            <w:shd w:val="clear" w:color="auto" w:fill="D9D9D9" w:themeFill="background1" w:themeFillShade="D9"/>
          </w:tcPr>
          <w:p w:rsidR="00A37A68" w:rsidRPr="006A2789" w:rsidRDefault="00A37A68" w:rsidP="00A37A68">
            <w:pPr>
              <w:jc w:val="center"/>
              <w:rPr>
                <w:b/>
              </w:rPr>
            </w:pPr>
            <w:r w:rsidRPr="006A2789">
              <w:rPr>
                <w:b/>
              </w:rPr>
              <w:t>3-6 months</w:t>
            </w:r>
          </w:p>
        </w:tc>
        <w:tc>
          <w:tcPr>
            <w:tcW w:w="1856" w:type="dxa"/>
            <w:shd w:val="clear" w:color="auto" w:fill="D9D9D9" w:themeFill="background1" w:themeFillShade="D9"/>
          </w:tcPr>
          <w:p w:rsidR="00A37A68" w:rsidRPr="006A2789" w:rsidRDefault="00A37A68" w:rsidP="00A37A68">
            <w:pPr>
              <w:jc w:val="center"/>
              <w:rPr>
                <w:b/>
              </w:rPr>
            </w:pPr>
            <w:r w:rsidRPr="006A2789">
              <w:rPr>
                <w:b/>
              </w:rPr>
              <w:t>6-12months</w:t>
            </w:r>
          </w:p>
        </w:tc>
        <w:tc>
          <w:tcPr>
            <w:tcW w:w="1294" w:type="dxa"/>
            <w:shd w:val="clear" w:color="auto" w:fill="D9D9D9" w:themeFill="background1" w:themeFillShade="D9"/>
          </w:tcPr>
          <w:p w:rsidR="00A37A68" w:rsidRPr="006A2789" w:rsidRDefault="00A37A68" w:rsidP="00A37A68">
            <w:pPr>
              <w:jc w:val="center"/>
              <w:rPr>
                <w:b/>
              </w:rPr>
            </w:pPr>
            <w:r w:rsidRPr="006A2789">
              <w:rPr>
                <w:b/>
              </w:rPr>
              <w:t>&gt;12 months</w:t>
            </w:r>
          </w:p>
        </w:tc>
      </w:tr>
      <w:tr w:rsidR="00A37A68" w:rsidRPr="006A2789" w:rsidTr="00D633AF">
        <w:tc>
          <w:tcPr>
            <w:tcW w:w="2223" w:type="dxa"/>
            <w:shd w:val="clear" w:color="auto" w:fill="D9D9D9" w:themeFill="background1" w:themeFillShade="D9"/>
          </w:tcPr>
          <w:p w:rsidR="00A37A68" w:rsidRPr="006A2789" w:rsidRDefault="00A37A68" w:rsidP="00A37A68">
            <w:pPr>
              <w:rPr>
                <w:b/>
              </w:rPr>
            </w:pPr>
          </w:p>
        </w:tc>
        <w:tc>
          <w:tcPr>
            <w:tcW w:w="1276" w:type="dxa"/>
            <w:shd w:val="clear" w:color="auto" w:fill="D9D9D9" w:themeFill="background1" w:themeFillShade="D9"/>
          </w:tcPr>
          <w:p w:rsidR="00A37A68" w:rsidRPr="006A2789" w:rsidRDefault="00A37A68" w:rsidP="00A37A68">
            <w:pPr>
              <w:jc w:val="center"/>
              <w:rPr>
                <w:b/>
              </w:rPr>
            </w:pPr>
            <w:r w:rsidRPr="006A2789">
              <w:rPr>
                <w:b/>
              </w:rPr>
              <w:t>£millions</w:t>
            </w:r>
          </w:p>
        </w:tc>
        <w:tc>
          <w:tcPr>
            <w:tcW w:w="1670" w:type="dxa"/>
            <w:shd w:val="clear" w:color="auto" w:fill="D9D9D9" w:themeFill="background1" w:themeFillShade="D9"/>
          </w:tcPr>
          <w:p w:rsidR="00A37A68" w:rsidRPr="006A2789" w:rsidRDefault="00A37A68" w:rsidP="00B613F2">
            <w:pPr>
              <w:jc w:val="center"/>
              <w:rPr>
                <w:b/>
              </w:rPr>
            </w:pPr>
            <w:r w:rsidRPr="006A2789">
              <w:rPr>
                <w:b/>
              </w:rPr>
              <w:t>£millions</w:t>
            </w:r>
          </w:p>
        </w:tc>
        <w:tc>
          <w:tcPr>
            <w:tcW w:w="1856" w:type="dxa"/>
            <w:shd w:val="clear" w:color="auto" w:fill="D9D9D9" w:themeFill="background1" w:themeFillShade="D9"/>
          </w:tcPr>
          <w:p w:rsidR="00A37A68" w:rsidRPr="006A2789" w:rsidRDefault="00A37A68" w:rsidP="00B613F2">
            <w:pPr>
              <w:jc w:val="center"/>
              <w:rPr>
                <w:b/>
              </w:rPr>
            </w:pPr>
            <w:r w:rsidRPr="006A2789">
              <w:rPr>
                <w:b/>
              </w:rPr>
              <w:t>£millions</w:t>
            </w:r>
          </w:p>
        </w:tc>
        <w:tc>
          <w:tcPr>
            <w:tcW w:w="1294" w:type="dxa"/>
            <w:shd w:val="clear" w:color="auto" w:fill="D9D9D9" w:themeFill="background1" w:themeFillShade="D9"/>
          </w:tcPr>
          <w:p w:rsidR="00A37A68" w:rsidRPr="006A2789" w:rsidRDefault="00A37A68" w:rsidP="00B613F2">
            <w:pPr>
              <w:jc w:val="center"/>
              <w:rPr>
                <w:b/>
              </w:rPr>
            </w:pPr>
            <w:r w:rsidRPr="006A2789">
              <w:rPr>
                <w:b/>
              </w:rPr>
              <w:t>£millions</w:t>
            </w:r>
          </w:p>
        </w:tc>
      </w:tr>
      <w:tr w:rsidR="00A37A68" w:rsidRPr="006A2789" w:rsidTr="00D633AF">
        <w:tc>
          <w:tcPr>
            <w:tcW w:w="2223" w:type="dxa"/>
          </w:tcPr>
          <w:p w:rsidR="00A37A68" w:rsidRPr="006A2789" w:rsidRDefault="00A37A68" w:rsidP="00A37A68">
            <w:r w:rsidRPr="006A2789">
              <w:t>Banks</w:t>
            </w:r>
          </w:p>
        </w:tc>
        <w:tc>
          <w:tcPr>
            <w:tcW w:w="1276" w:type="dxa"/>
          </w:tcPr>
          <w:p w:rsidR="00A37A68" w:rsidRPr="006A2789" w:rsidRDefault="006D5102" w:rsidP="0052050E">
            <w:pPr>
              <w:jc w:val="right"/>
            </w:pPr>
            <w:r>
              <w:t>8</w:t>
            </w:r>
            <w:r w:rsidR="0052050E">
              <w:t>.5</w:t>
            </w:r>
          </w:p>
        </w:tc>
        <w:tc>
          <w:tcPr>
            <w:tcW w:w="1670" w:type="dxa"/>
          </w:tcPr>
          <w:p w:rsidR="00A37A68" w:rsidRPr="006A2789" w:rsidRDefault="0052050E" w:rsidP="006D5102">
            <w:pPr>
              <w:jc w:val="right"/>
            </w:pPr>
            <w:r>
              <w:t>1</w:t>
            </w:r>
            <w:r w:rsidR="006D5102">
              <w:t>2</w:t>
            </w:r>
            <w:r>
              <w:t>.5</w:t>
            </w:r>
          </w:p>
        </w:tc>
        <w:tc>
          <w:tcPr>
            <w:tcW w:w="1856" w:type="dxa"/>
          </w:tcPr>
          <w:p w:rsidR="00A37A68" w:rsidRPr="006A2789" w:rsidRDefault="00856383" w:rsidP="00DA5C05">
            <w:pPr>
              <w:jc w:val="right"/>
            </w:pPr>
            <w:r w:rsidRPr="006A2789">
              <w:t>7.0</w:t>
            </w:r>
          </w:p>
        </w:tc>
        <w:tc>
          <w:tcPr>
            <w:tcW w:w="1294" w:type="dxa"/>
          </w:tcPr>
          <w:p w:rsidR="00A37A68" w:rsidRPr="006A2789" w:rsidRDefault="00A37A68" w:rsidP="00DA5C05">
            <w:pPr>
              <w:jc w:val="right"/>
            </w:pPr>
          </w:p>
        </w:tc>
      </w:tr>
      <w:tr w:rsidR="00A37A68" w:rsidRPr="006A2789" w:rsidTr="00D633AF">
        <w:tc>
          <w:tcPr>
            <w:tcW w:w="2223" w:type="dxa"/>
          </w:tcPr>
          <w:p w:rsidR="00A37A68" w:rsidRPr="006A2789" w:rsidRDefault="00A37A68" w:rsidP="00A37A68">
            <w:r w:rsidRPr="006A2789">
              <w:t>Building Societies</w:t>
            </w:r>
          </w:p>
        </w:tc>
        <w:tc>
          <w:tcPr>
            <w:tcW w:w="1276" w:type="dxa"/>
          </w:tcPr>
          <w:p w:rsidR="00A37A68" w:rsidRPr="006A2789" w:rsidRDefault="006D5102" w:rsidP="0052050E">
            <w:pPr>
              <w:jc w:val="right"/>
            </w:pPr>
            <w:r>
              <w:t>13</w:t>
            </w:r>
            <w:r w:rsidR="00E803DA">
              <w:t>.0</w:t>
            </w:r>
          </w:p>
        </w:tc>
        <w:tc>
          <w:tcPr>
            <w:tcW w:w="1670" w:type="dxa"/>
          </w:tcPr>
          <w:p w:rsidR="00A37A68" w:rsidRPr="006A2789" w:rsidRDefault="006D5102" w:rsidP="006D5102">
            <w:pPr>
              <w:jc w:val="right"/>
            </w:pPr>
            <w:r>
              <w:t>5.5</w:t>
            </w:r>
          </w:p>
        </w:tc>
        <w:tc>
          <w:tcPr>
            <w:tcW w:w="1856" w:type="dxa"/>
          </w:tcPr>
          <w:p w:rsidR="00A37A68" w:rsidRPr="006A2789" w:rsidRDefault="00A37A68" w:rsidP="00DA5C05">
            <w:pPr>
              <w:jc w:val="right"/>
            </w:pPr>
          </w:p>
        </w:tc>
        <w:tc>
          <w:tcPr>
            <w:tcW w:w="1294" w:type="dxa"/>
          </w:tcPr>
          <w:p w:rsidR="00A37A68" w:rsidRPr="006A2789" w:rsidRDefault="00A37A68" w:rsidP="00DA5C05">
            <w:pPr>
              <w:jc w:val="right"/>
            </w:pPr>
          </w:p>
        </w:tc>
      </w:tr>
      <w:tr w:rsidR="00A37A68" w:rsidRPr="006A2789" w:rsidTr="00D633AF">
        <w:tc>
          <w:tcPr>
            <w:tcW w:w="2223" w:type="dxa"/>
          </w:tcPr>
          <w:p w:rsidR="00A37A68" w:rsidRPr="006A2789" w:rsidRDefault="00A37A68" w:rsidP="00A37A68">
            <w:r w:rsidRPr="006A2789">
              <w:t>MMF’s</w:t>
            </w:r>
          </w:p>
        </w:tc>
        <w:tc>
          <w:tcPr>
            <w:tcW w:w="1276" w:type="dxa"/>
          </w:tcPr>
          <w:p w:rsidR="00A37A68" w:rsidRPr="006A2789" w:rsidRDefault="0052050E" w:rsidP="006D5102">
            <w:pPr>
              <w:jc w:val="right"/>
            </w:pPr>
            <w:r>
              <w:t>1</w:t>
            </w:r>
            <w:r w:rsidR="006D5102">
              <w:t>7</w:t>
            </w:r>
            <w:r>
              <w:t>.</w:t>
            </w:r>
            <w:r w:rsidR="006D5102">
              <w:t>7</w:t>
            </w:r>
          </w:p>
        </w:tc>
        <w:tc>
          <w:tcPr>
            <w:tcW w:w="1670" w:type="dxa"/>
          </w:tcPr>
          <w:p w:rsidR="00A37A68" w:rsidRPr="006A2789" w:rsidRDefault="00A37A68" w:rsidP="00DA5C05">
            <w:pPr>
              <w:jc w:val="right"/>
            </w:pPr>
          </w:p>
        </w:tc>
        <w:tc>
          <w:tcPr>
            <w:tcW w:w="1856" w:type="dxa"/>
          </w:tcPr>
          <w:p w:rsidR="00A37A68" w:rsidRPr="006A2789" w:rsidRDefault="00A37A68" w:rsidP="00DA5C05">
            <w:pPr>
              <w:jc w:val="right"/>
            </w:pPr>
          </w:p>
        </w:tc>
        <w:tc>
          <w:tcPr>
            <w:tcW w:w="1294" w:type="dxa"/>
          </w:tcPr>
          <w:p w:rsidR="00A37A68" w:rsidRPr="006A2789" w:rsidRDefault="00A37A68" w:rsidP="00DA5C05">
            <w:pPr>
              <w:jc w:val="right"/>
            </w:pPr>
          </w:p>
        </w:tc>
      </w:tr>
      <w:tr w:rsidR="006D5102" w:rsidRPr="006A2789" w:rsidTr="00D633AF">
        <w:tc>
          <w:tcPr>
            <w:tcW w:w="2223" w:type="dxa"/>
          </w:tcPr>
          <w:p w:rsidR="006D5102" w:rsidRPr="006A2789" w:rsidRDefault="006D5102" w:rsidP="00A37A68">
            <w:r>
              <w:t>Enhanced Cash Plus</w:t>
            </w:r>
          </w:p>
        </w:tc>
        <w:tc>
          <w:tcPr>
            <w:tcW w:w="1276" w:type="dxa"/>
          </w:tcPr>
          <w:p w:rsidR="006D5102" w:rsidRPr="006A2789" w:rsidRDefault="006D5102" w:rsidP="00DA5C05">
            <w:pPr>
              <w:jc w:val="right"/>
            </w:pPr>
          </w:p>
        </w:tc>
        <w:tc>
          <w:tcPr>
            <w:tcW w:w="1670" w:type="dxa"/>
          </w:tcPr>
          <w:p w:rsidR="006D5102" w:rsidRPr="006A2789" w:rsidRDefault="006D5102" w:rsidP="0052050E">
            <w:pPr>
              <w:jc w:val="right"/>
            </w:pPr>
            <w:r>
              <w:t>8.0</w:t>
            </w:r>
          </w:p>
        </w:tc>
        <w:tc>
          <w:tcPr>
            <w:tcW w:w="1856" w:type="dxa"/>
          </w:tcPr>
          <w:p w:rsidR="006D5102" w:rsidRPr="006A2789" w:rsidRDefault="006D5102" w:rsidP="00DA5C05">
            <w:pPr>
              <w:jc w:val="right"/>
            </w:pPr>
          </w:p>
        </w:tc>
        <w:tc>
          <w:tcPr>
            <w:tcW w:w="1294" w:type="dxa"/>
          </w:tcPr>
          <w:p w:rsidR="006D5102" w:rsidRPr="006A2789" w:rsidRDefault="006D5102" w:rsidP="00DA5C05">
            <w:pPr>
              <w:jc w:val="right"/>
            </w:pPr>
          </w:p>
        </w:tc>
      </w:tr>
      <w:tr w:rsidR="00A37A68" w:rsidRPr="006A2789" w:rsidTr="00D633AF">
        <w:tc>
          <w:tcPr>
            <w:tcW w:w="2223" w:type="dxa"/>
          </w:tcPr>
          <w:p w:rsidR="00A37A68" w:rsidRPr="006A2789" w:rsidRDefault="00A37A68" w:rsidP="00A37A68">
            <w:r w:rsidRPr="006A2789">
              <w:t>Local Authorities</w:t>
            </w:r>
          </w:p>
        </w:tc>
        <w:tc>
          <w:tcPr>
            <w:tcW w:w="1276" w:type="dxa"/>
          </w:tcPr>
          <w:p w:rsidR="00A37A68" w:rsidRPr="006A2789" w:rsidRDefault="00A37A68" w:rsidP="00DA5C05">
            <w:pPr>
              <w:jc w:val="right"/>
            </w:pPr>
          </w:p>
        </w:tc>
        <w:tc>
          <w:tcPr>
            <w:tcW w:w="1670" w:type="dxa"/>
          </w:tcPr>
          <w:p w:rsidR="00A37A68" w:rsidRPr="006A2789" w:rsidRDefault="006D5102" w:rsidP="0052050E">
            <w:pPr>
              <w:jc w:val="right"/>
            </w:pPr>
            <w:r>
              <w:t>2.5</w:t>
            </w:r>
          </w:p>
        </w:tc>
        <w:tc>
          <w:tcPr>
            <w:tcW w:w="1856" w:type="dxa"/>
          </w:tcPr>
          <w:p w:rsidR="00A37A68" w:rsidRPr="006A2789" w:rsidRDefault="00A37A68" w:rsidP="00DA5C05">
            <w:pPr>
              <w:jc w:val="right"/>
            </w:pPr>
          </w:p>
        </w:tc>
        <w:tc>
          <w:tcPr>
            <w:tcW w:w="1294" w:type="dxa"/>
          </w:tcPr>
          <w:p w:rsidR="00A37A68" w:rsidRPr="006A2789" w:rsidRDefault="00A37A68" w:rsidP="00DA5C05">
            <w:pPr>
              <w:jc w:val="right"/>
            </w:pPr>
          </w:p>
        </w:tc>
      </w:tr>
      <w:tr w:rsidR="00A37A68" w:rsidRPr="006A2789" w:rsidTr="00D633AF">
        <w:tc>
          <w:tcPr>
            <w:tcW w:w="2223" w:type="dxa"/>
          </w:tcPr>
          <w:p w:rsidR="00A37A68" w:rsidRPr="006A2789" w:rsidRDefault="00A37A68" w:rsidP="00A37A68">
            <w:r w:rsidRPr="006A2789">
              <w:t>Property Funds</w:t>
            </w:r>
          </w:p>
        </w:tc>
        <w:tc>
          <w:tcPr>
            <w:tcW w:w="1276" w:type="dxa"/>
          </w:tcPr>
          <w:p w:rsidR="00A37A68" w:rsidRPr="006A2789" w:rsidRDefault="00A37A68" w:rsidP="00DA5C05">
            <w:pPr>
              <w:jc w:val="right"/>
            </w:pPr>
          </w:p>
        </w:tc>
        <w:tc>
          <w:tcPr>
            <w:tcW w:w="1670" w:type="dxa"/>
          </w:tcPr>
          <w:p w:rsidR="00A37A68" w:rsidRPr="006A2789" w:rsidRDefault="00A37A68" w:rsidP="00DA5C05">
            <w:pPr>
              <w:jc w:val="right"/>
            </w:pPr>
          </w:p>
        </w:tc>
        <w:tc>
          <w:tcPr>
            <w:tcW w:w="1856" w:type="dxa"/>
          </w:tcPr>
          <w:p w:rsidR="00A37A68" w:rsidRPr="006A2789" w:rsidRDefault="00A37A68" w:rsidP="00DA5C05">
            <w:pPr>
              <w:jc w:val="right"/>
            </w:pPr>
          </w:p>
        </w:tc>
        <w:tc>
          <w:tcPr>
            <w:tcW w:w="1294" w:type="dxa"/>
          </w:tcPr>
          <w:p w:rsidR="00A37A68" w:rsidRPr="006A2789" w:rsidRDefault="005A5C00" w:rsidP="00DA5C05">
            <w:pPr>
              <w:jc w:val="right"/>
            </w:pPr>
            <w:r w:rsidRPr="006A2789">
              <w:t>10</w:t>
            </w:r>
            <w:r w:rsidR="00E803DA">
              <w:t>.0</w:t>
            </w:r>
          </w:p>
        </w:tc>
      </w:tr>
      <w:tr w:rsidR="003F0FD4" w:rsidRPr="006A2789" w:rsidTr="00D633AF">
        <w:tc>
          <w:tcPr>
            <w:tcW w:w="2223" w:type="dxa"/>
          </w:tcPr>
          <w:p w:rsidR="003F0FD4" w:rsidRPr="006A2789" w:rsidRDefault="003F0FD4" w:rsidP="00A37A68">
            <w:pPr>
              <w:rPr>
                <w:b/>
              </w:rPr>
            </w:pPr>
            <w:r w:rsidRPr="006A2789">
              <w:rPr>
                <w:b/>
              </w:rPr>
              <w:t>Total</w:t>
            </w:r>
          </w:p>
        </w:tc>
        <w:tc>
          <w:tcPr>
            <w:tcW w:w="1276" w:type="dxa"/>
          </w:tcPr>
          <w:p w:rsidR="003F0FD4" w:rsidRPr="006A2789" w:rsidRDefault="006D5102" w:rsidP="006D5102">
            <w:pPr>
              <w:jc w:val="right"/>
              <w:rPr>
                <w:b/>
              </w:rPr>
            </w:pPr>
            <w:r>
              <w:rPr>
                <w:b/>
              </w:rPr>
              <w:t>39</w:t>
            </w:r>
            <w:r w:rsidR="0052050E">
              <w:rPr>
                <w:b/>
              </w:rPr>
              <w:t>.</w:t>
            </w:r>
            <w:r>
              <w:rPr>
                <w:b/>
              </w:rPr>
              <w:t>2</w:t>
            </w:r>
          </w:p>
        </w:tc>
        <w:tc>
          <w:tcPr>
            <w:tcW w:w="1670" w:type="dxa"/>
          </w:tcPr>
          <w:p w:rsidR="003F0FD4" w:rsidRPr="006A2789" w:rsidRDefault="0052050E" w:rsidP="006D5102">
            <w:pPr>
              <w:jc w:val="right"/>
              <w:rPr>
                <w:b/>
              </w:rPr>
            </w:pPr>
            <w:r>
              <w:rPr>
                <w:b/>
              </w:rPr>
              <w:t>2</w:t>
            </w:r>
            <w:r w:rsidR="006D5102">
              <w:rPr>
                <w:b/>
              </w:rPr>
              <w:t>8</w:t>
            </w:r>
            <w:r>
              <w:rPr>
                <w:b/>
              </w:rPr>
              <w:t>.5</w:t>
            </w:r>
          </w:p>
        </w:tc>
        <w:tc>
          <w:tcPr>
            <w:tcW w:w="1856" w:type="dxa"/>
          </w:tcPr>
          <w:p w:rsidR="003F0FD4" w:rsidRPr="006A2789" w:rsidRDefault="00856383" w:rsidP="00DA5C05">
            <w:pPr>
              <w:jc w:val="right"/>
              <w:rPr>
                <w:b/>
              </w:rPr>
            </w:pPr>
            <w:r w:rsidRPr="006A2789">
              <w:rPr>
                <w:b/>
              </w:rPr>
              <w:t>7.0</w:t>
            </w:r>
          </w:p>
        </w:tc>
        <w:tc>
          <w:tcPr>
            <w:tcW w:w="1294" w:type="dxa"/>
          </w:tcPr>
          <w:p w:rsidR="003F0FD4" w:rsidRPr="006A2789" w:rsidRDefault="005A5C00" w:rsidP="00DA5C05">
            <w:pPr>
              <w:jc w:val="right"/>
              <w:rPr>
                <w:b/>
              </w:rPr>
            </w:pPr>
            <w:r w:rsidRPr="006A2789">
              <w:rPr>
                <w:b/>
              </w:rPr>
              <w:t>10</w:t>
            </w:r>
            <w:r w:rsidR="00E803DA">
              <w:rPr>
                <w:b/>
              </w:rPr>
              <w:t>.0</w:t>
            </w:r>
          </w:p>
        </w:tc>
      </w:tr>
    </w:tbl>
    <w:p w:rsidR="00A37A68" w:rsidRPr="00D009D3" w:rsidRDefault="00A37A68" w:rsidP="00A37A68">
      <w:pPr>
        <w:ind w:left="720"/>
        <w:rPr>
          <w:highlight w:val="yellow"/>
        </w:rPr>
      </w:pPr>
    </w:p>
    <w:p w:rsidR="00784FCD" w:rsidRDefault="00A37A68" w:rsidP="005E12AD">
      <w:pPr>
        <w:pStyle w:val="Default"/>
        <w:numPr>
          <w:ilvl w:val="0"/>
          <w:numId w:val="5"/>
        </w:numPr>
        <w:ind w:left="851"/>
      </w:pPr>
      <w:r w:rsidRPr="00726795">
        <w:t>Average investment return</w:t>
      </w:r>
      <w:r w:rsidR="007B4E18">
        <w:t>s</w:t>
      </w:r>
      <w:r w:rsidRPr="00726795">
        <w:t xml:space="preserve"> </w:t>
      </w:r>
      <w:r w:rsidR="0078356B" w:rsidRPr="00726795">
        <w:t xml:space="preserve">in </w:t>
      </w:r>
      <w:r w:rsidR="009761C3">
        <w:t>January</w:t>
      </w:r>
      <w:r w:rsidR="00D633AF">
        <w:t xml:space="preserve"> 2017</w:t>
      </w:r>
      <w:r w:rsidR="009761C3">
        <w:t xml:space="preserve"> w</w:t>
      </w:r>
      <w:r w:rsidR="0078356B" w:rsidRPr="00726795">
        <w:t xml:space="preserve">as </w:t>
      </w:r>
      <w:r w:rsidR="0078356B" w:rsidRPr="00095C0C">
        <w:t>0</w:t>
      </w:r>
      <w:r w:rsidR="0052050E">
        <w:t>.</w:t>
      </w:r>
      <w:r w:rsidR="009761C3">
        <w:t>55</w:t>
      </w:r>
      <w:r w:rsidR="0052050E">
        <w:t>%</w:t>
      </w:r>
      <w:r w:rsidR="0078356B" w:rsidRPr="00095C0C">
        <w:t xml:space="preserve"> </w:t>
      </w:r>
      <w:r w:rsidR="005E12AD" w:rsidRPr="005E12AD">
        <w:t xml:space="preserve">for banks and building societies </w:t>
      </w:r>
      <w:r w:rsidR="00D009D3" w:rsidRPr="00095C0C">
        <w:t xml:space="preserve">excluding property </w:t>
      </w:r>
      <w:r w:rsidR="005E12AD">
        <w:t xml:space="preserve">funds </w:t>
      </w:r>
      <w:r w:rsidR="00D009D3" w:rsidRPr="00095C0C">
        <w:t>and</w:t>
      </w:r>
      <w:r w:rsidR="005A1923">
        <w:t xml:space="preserve"> 0</w:t>
      </w:r>
      <w:r w:rsidR="00726795" w:rsidRPr="00095C0C">
        <w:t>.</w:t>
      </w:r>
      <w:r w:rsidR="009761C3">
        <w:t>93</w:t>
      </w:r>
      <w:r w:rsidR="00726795" w:rsidRPr="00095C0C">
        <w:t>%</w:t>
      </w:r>
      <w:r w:rsidR="00D009D3" w:rsidRPr="00095C0C">
        <w:t xml:space="preserve"> including property funds</w:t>
      </w:r>
      <w:r w:rsidR="0078356B" w:rsidRPr="00095C0C">
        <w:t xml:space="preserve">. </w:t>
      </w:r>
      <w:r w:rsidR="009761C3">
        <w:t xml:space="preserve">This has slipped from August’s report when the equivalent rates were </w:t>
      </w:r>
      <w:r w:rsidR="005A1923">
        <w:t>0</w:t>
      </w:r>
      <w:r w:rsidR="009761C3">
        <w:t>.68% and 1.11% respectively.  This</w:t>
      </w:r>
      <w:r w:rsidR="00D633AF">
        <w:t xml:space="preserve"> highlights </w:t>
      </w:r>
      <w:r w:rsidR="009761C3">
        <w:t xml:space="preserve">the </w:t>
      </w:r>
      <w:r w:rsidR="00D633AF">
        <w:t xml:space="preserve">difficulty in achieving </w:t>
      </w:r>
      <w:r w:rsidR="00185975">
        <w:t xml:space="preserve">competitive </w:t>
      </w:r>
      <w:r w:rsidR="00D633AF">
        <w:t xml:space="preserve">investment rates </w:t>
      </w:r>
      <w:r w:rsidR="009761C3">
        <w:t xml:space="preserve">at this time.  We are currently getting quotes in the </w:t>
      </w:r>
      <w:r w:rsidR="0078356B" w:rsidRPr="00095C0C">
        <w:t xml:space="preserve">range of </w:t>
      </w:r>
      <w:r w:rsidR="00784FCD">
        <w:t>0</w:t>
      </w:r>
      <w:r w:rsidR="0052050E">
        <w:t xml:space="preserve">.16% to </w:t>
      </w:r>
      <w:r w:rsidR="00784FCD">
        <w:t>0.</w:t>
      </w:r>
      <w:r w:rsidR="0052050E">
        <w:t>65%</w:t>
      </w:r>
      <w:r w:rsidR="0078356B" w:rsidRPr="00726795">
        <w:t>for new 6 months deals as opposed to</w:t>
      </w:r>
      <w:r w:rsidR="00DA5C05" w:rsidRPr="00726795">
        <w:t xml:space="preserve"> </w:t>
      </w:r>
      <w:r w:rsidR="00784FCD">
        <w:t xml:space="preserve">the </w:t>
      </w:r>
      <w:r w:rsidR="00DA5C05" w:rsidRPr="00726795">
        <w:t>0</w:t>
      </w:r>
      <w:r w:rsidR="0078356B" w:rsidRPr="00726795">
        <w:t>.62</w:t>
      </w:r>
      <w:r w:rsidR="005A1923">
        <w:t>%</w:t>
      </w:r>
      <w:r w:rsidR="007B4E18">
        <w:t xml:space="preserve"> to </w:t>
      </w:r>
      <w:r w:rsidR="00DA5C05" w:rsidRPr="00726795">
        <w:t>0</w:t>
      </w:r>
      <w:r w:rsidR="0078356B" w:rsidRPr="00726795">
        <w:t xml:space="preserve">.80% achieved </w:t>
      </w:r>
      <w:r w:rsidR="009761C3">
        <w:t xml:space="preserve">prior to August. </w:t>
      </w:r>
      <w:r w:rsidR="00D66FB5">
        <w:t xml:space="preserve"> </w:t>
      </w:r>
      <w:r w:rsidR="008C2901">
        <w:t xml:space="preserve"> </w:t>
      </w:r>
    </w:p>
    <w:p w:rsidR="0078356B" w:rsidRPr="00726795" w:rsidRDefault="009761C3" w:rsidP="00340D1E">
      <w:pPr>
        <w:pStyle w:val="Default"/>
        <w:numPr>
          <w:ilvl w:val="0"/>
          <w:numId w:val="5"/>
        </w:numPr>
        <w:ind w:left="851" w:hanging="425"/>
      </w:pPr>
      <w:r>
        <w:t>Investment duration limits have remained constant</w:t>
      </w:r>
      <w:r w:rsidR="00912998">
        <w:t xml:space="preserve"> at 6 months</w:t>
      </w:r>
      <w:r>
        <w:t>.</w:t>
      </w:r>
      <w:r w:rsidR="00D633AF">
        <w:t xml:space="preserve">  As mention</w:t>
      </w:r>
      <w:r w:rsidR="00912998">
        <w:t>ed</w:t>
      </w:r>
      <w:r w:rsidR="00D633AF">
        <w:t xml:space="preserve"> above banks are not short o</w:t>
      </w:r>
      <w:r w:rsidR="00912998">
        <w:t xml:space="preserve">f cheap available funds </w:t>
      </w:r>
      <w:r w:rsidR="00185975">
        <w:t xml:space="preserve">and </w:t>
      </w:r>
      <w:r w:rsidR="00912998">
        <w:t>seen as relatively stable</w:t>
      </w:r>
      <w:r w:rsidR="00185975">
        <w:t xml:space="preserve"> institutions</w:t>
      </w:r>
      <w:r w:rsidR="0078356B" w:rsidRPr="00726795">
        <w:t>.</w:t>
      </w:r>
    </w:p>
    <w:p w:rsidR="003122A9" w:rsidRDefault="003122A9" w:rsidP="00340D1E">
      <w:pPr>
        <w:pStyle w:val="Default"/>
        <w:numPr>
          <w:ilvl w:val="0"/>
          <w:numId w:val="5"/>
        </w:numPr>
        <w:ind w:left="851" w:hanging="425"/>
      </w:pPr>
      <w:r w:rsidRPr="00726795">
        <w:t>Within the medium term financial plan an amount of £</w:t>
      </w:r>
      <w:r w:rsidR="00D009D3" w:rsidRPr="00726795">
        <w:t>746k</w:t>
      </w:r>
      <w:r w:rsidRPr="00726795">
        <w:t xml:space="preserve"> </w:t>
      </w:r>
      <w:r w:rsidR="00D009D3" w:rsidRPr="00726795">
        <w:t>h</w:t>
      </w:r>
      <w:r w:rsidRPr="00726795">
        <w:t xml:space="preserve">as been included for investment interest based on an average interest rate of </w:t>
      </w:r>
      <w:r w:rsidR="00D009D3" w:rsidRPr="00726795">
        <w:t>0.7% excluding property and 1.3% including property funds.</w:t>
      </w:r>
      <w:r w:rsidR="00726795">
        <w:t xml:space="preserve">  </w:t>
      </w:r>
      <w:r w:rsidR="007B783D" w:rsidRPr="00726795">
        <w:t xml:space="preserve">With the base rate decrease </w:t>
      </w:r>
      <w:r w:rsidR="00784FCD">
        <w:t xml:space="preserve">and the potential for a further decrease </w:t>
      </w:r>
      <w:r w:rsidR="007B783D" w:rsidRPr="00726795">
        <w:t xml:space="preserve">it is likely that this financial pressure will </w:t>
      </w:r>
      <w:r w:rsidR="00A4777C">
        <w:t>increase</w:t>
      </w:r>
      <w:r w:rsidR="007B783D" w:rsidRPr="00726795">
        <w:t>.</w:t>
      </w:r>
      <w:r w:rsidR="00D009D3" w:rsidRPr="00726795">
        <w:t xml:space="preserve"> </w:t>
      </w:r>
    </w:p>
    <w:p w:rsidR="003122A9" w:rsidRDefault="003122A9" w:rsidP="00340D1E">
      <w:pPr>
        <w:pStyle w:val="Default"/>
        <w:ind w:left="851" w:hanging="425"/>
      </w:pPr>
    </w:p>
    <w:p w:rsidR="003122A9" w:rsidRPr="0096290D" w:rsidRDefault="00B63B1C" w:rsidP="003F7EDF">
      <w:pPr>
        <w:pStyle w:val="Default"/>
        <w:numPr>
          <w:ilvl w:val="0"/>
          <w:numId w:val="8"/>
        </w:numPr>
        <w:ind w:left="426" w:hanging="426"/>
        <w:rPr>
          <w:b/>
        </w:rPr>
      </w:pPr>
      <w:r w:rsidRPr="0096290D">
        <w:rPr>
          <w:b/>
        </w:rPr>
        <w:t>Property</w:t>
      </w:r>
      <w:r w:rsidR="003122A9" w:rsidRPr="0096290D">
        <w:rPr>
          <w:b/>
        </w:rPr>
        <w:t xml:space="preserve"> Funds</w:t>
      </w:r>
    </w:p>
    <w:p w:rsidR="003122A9" w:rsidRPr="00726795" w:rsidRDefault="003122A9" w:rsidP="0077345C">
      <w:pPr>
        <w:pStyle w:val="Default"/>
        <w:ind w:left="426"/>
      </w:pPr>
      <w:r w:rsidRPr="00726795">
        <w:t xml:space="preserve">The Council has </w:t>
      </w:r>
      <w:r w:rsidR="00784FCD">
        <w:t xml:space="preserve">invested in </w:t>
      </w:r>
      <w:r w:rsidRPr="00726795">
        <w:t>t</w:t>
      </w:r>
      <w:r w:rsidR="007B783D" w:rsidRPr="00726795">
        <w:t xml:space="preserve">hree </w:t>
      </w:r>
      <w:r w:rsidR="00B63B1C" w:rsidRPr="00726795">
        <w:t>property</w:t>
      </w:r>
      <w:r w:rsidRPr="00726795">
        <w:t xml:space="preserve"> funds</w:t>
      </w:r>
      <w:r w:rsidR="00784FCD">
        <w:t>.  The primary reason for the Council investing in the CCLA and Lothbury property funds was</w:t>
      </w:r>
      <w:r w:rsidR="00784FCD" w:rsidRPr="00784FCD">
        <w:t xml:space="preserve"> to achieve a revenue return</w:t>
      </w:r>
      <w:r w:rsidR="00784FCD">
        <w:t xml:space="preserve">.  </w:t>
      </w:r>
      <w:r w:rsidR="0040281F">
        <w:t xml:space="preserve">Following the </w:t>
      </w:r>
      <w:r w:rsidR="00784FCD">
        <w:t>Brexit</w:t>
      </w:r>
      <w:r w:rsidR="0040281F">
        <w:t xml:space="preserve"> vote</w:t>
      </w:r>
      <w:r w:rsidR="00784FCD">
        <w:t xml:space="preserve">, the </w:t>
      </w:r>
      <w:r w:rsidR="00784FCD" w:rsidRPr="00784FCD">
        <w:t xml:space="preserve">capital value </w:t>
      </w:r>
      <w:r w:rsidR="00784FCD">
        <w:t xml:space="preserve">of these funds </w:t>
      </w:r>
      <w:r w:rsidR="0040281F">
        <w:t>fell, as concerns over slower economic growth and in turn demand for commercial</w:t>
      </w:r>
      <w:r w:rsidR="002E78CD">
        <w:t>/office</w:t>
      </w:r>
      <w:r w:rsidR="0040281F">
        <w:t xml:space="preserve"> property</w:t>
      </w:r>
      <w:r w:rsidR="0028625B">
        <w:t xml:space="preserve"> grew</w:t>
      </w:r>
      <w:r w:rsidR="002E78CD">
        <w:t xml:space="preserve">.  As those concerns eased </w:t>
      </w:r>
      <w:r w:rsidR="0040281F">
        <w:t xml:space="preserve">both funds have recovered </w:t>
      </w:r>
      <w:r w:rsidR="002E78CD">
        <w:t xml:space="preserve">their value </w:t>
      </w:r>
      <w:r w:rsidR="0028625B">
        <w:t xml:space="preserve">and in the case of Lothbury nearly back to their pre </w:t>
      </w:r>
      <w:r w:rsidR="002E78CD">
        <w:t>Brexit levels</w:t>
      </w:r>
      <w:r w:rsidR="0028625B">
        <w:t xml:space="preserve">.  Both funds are </w:t>
      </w:r>
      <w:r w:rsidR="00784FCD" w:rsidRPr="00784FCD">
        <w:t>still significantly above the</w:t>
      </w:r>
      <w:r w:rsidR="00912998">
        <w:t>ir</w:t>
      </w:r>
      <w:r w:rsidR="00784FCD" w:rsidRPr="00784FCD">
        <w:t xml:space="preserve"> purchase value</w:t>
      </w:r>
      <w:r w:rsidR="00EB1FEC">
        <w:t xml:space="preserve">. </w:t>
      </w:r>
      <w:r w:rsidR="00784FCD" w:rsidRPr="00784FCD">
        <w:t xml:space="preserve"> </w:t>
      </w:r>
      <w:r w:rsidR="00EB1FEC">
        <w:t xml:space="preserve">Investments in property funds are long term and it is expected that there will be fluctuations of the capital value over the period that the property fund investments are held.  More detail on the property funds the Council holds are as </w:t>
      </w:r>
      <w:r w:rsidR="007B783D" w:rsidRPr="00726795">
        <w:t>follows</w:t>
      </w:r>
      <w:r w:rsidR="00EB1FEC">
        <w:t>:</w:t>
      </w:r>
    </w:p>
    <w:p w:rsidR="003122A9" w:rsidRPr="007B783D" w:rsidRDefault="003122A9" w:rsidP="003122A9">
      <w:pPr>
        <w:pStyle w:val="Default"/>
        <w:ind w:left="720"/>
        <w:rPr>
          <w:highlight w:val="yellow"/>
        </w:rPr>
      </w:pPr>
    </w:p>
    <w:p w:rsidR="00C05DA5" w:rsidRPr="00095C0C" w:rsidRDefault="003122A9" w:rsidP="0077345C">
      <w:pPr>
        <w:pStyle w:val="Default"/>
        <w:numPr>
          <w:ilvl w:val="1"/>
          <w:numId w:val="5"/>
        </w:numPr>
        <w:ind w:left="1134"/>
      </w:pPr>
      <w:r w:rsidRPr="00D73928">
        <w:rPr>
          <w:b/>
        </w:rPr>
        <w:t>CCLA</w:t>
      </w:r>
      <w:r w:rsidRPr="00095C0C">
        <w:t xml:space="preserve"> – </w:t>
      </w:r>
      <w:r w:rsidR="007B783D" w:rsidRPr="00095C0C">
        <w:t>£3</w:t>
      </w:r>
      <w:r w:rsidR="00C05DA5" w:rsidRPr="00095C0C">
        <w:t xml:space="preserve"> </w:t>
      </w:r>
      <w:r w:rsidR="007B783D" w:rsidRPr="00095C0C">
        <w:t xml:space="preserve">million </w:t>
      </w:r>
      <w:r w:rsidR="008E3F37" w:rsidRPr="00095C0C">
        <w:t>i</w:t>
      </w:r>
      <w:r w:rsidR="00B63B1C" w:rsidRPr="00095C0C">
        <w:t>nvestment</w:t>
      </w:r>
      <w:r w:rsidR="008E3F37" w:rsidRPr="00095C0C">
        <w:t xml:space="preserve"> </w:t>
      </w:r>
      <w:r w:rsidR="00C05DA5" w:rsidRPr="00095C0C">
        <w:t>in the Local Authorities Property Fund</w:t>
      </w:r>
      <w:r w:rsidRPr="00095C0C">
        <w:t xml:space="preserve"> </w:t>
      </w:r>
      <w:r w:rsidR="00C05DA5" w:rsidRPr="00095C0C">
        <w:t xml:space="preserve">held in two tranches.  </w:t>
      </w:r>
      <w:r w:rsidR="00D73928">
        <w:t xml:space="preserve">The </w:t>
      </w:r>
      <w:r w:rsidR="00CD1963" w:rsidRPr="00095C0C">
        <w:t xml:space="preserve">total </w:t>
      </w:r>
      <w:r w:rsidR="00C74869">
        <w:t xml:space="preserve">capital </w:t>
      </w:r>
      <w:r w:rsidR="00C05DA5" w:rsidRPr="00095C0C">
        <w:t xml:space="preserve">value </w:t>
      </w:r>
      <w:r w:rsidR="00D73928">
        <w:t xml:space="preserve">as </w:t>
      </w:r>
      <w:r w:rsidR="00D73928" w:rsidRPr="00095C0C">
        <w:t xml:space="preserve">at </w:t>
      </w:r>
      <w:r w:rsidR="00D73928">
        <w:t xml:space="preserve">the </w:t>
      </w:r>
      <w:r w:rsidR="00D73928" w:rsidRPr="00095C0C">
        <w:t xml:space="preserve">end of </w:t>
      </w:r>
      <w:r w:rsidR="002E78CD">
        <w:t xml:space="preserve">February 2017 </w:t>
      </w:r>
      <w:r w:rsidR="00D73928">
        <w:t>was</w:t>
      </w:r>
      <w:r w:rsidR="00C05DA5" w:rsidRPr="00095C0C">
        <w:t xml:space="preserve"> </w:t>
      </w:r>
      <w:r w:rsidR="009D0DE7">
        <w:t xml:space="preserve"> £</w:t>
      </w:r>
      <w:r w:rsidR="002E78CD">
        <w:t>3</w:t>
      </w:r>
      <w:r w:rsidR="009D0DE7">
        <w:t>,6</w:t>
      </w:r>
      <w:r w:rsidR="002E78CD">
        <w:t>59</w:t>
      </w:r>
      <w:r w:rsidR="009D0DE7">
        <w:t>,</w:t>
      </w:r>
      <w:r w:rsidR="002E78CD">
        <w:t>851</w:t>
      </w:r>
      <w:r w:rsidR="00C05DA5" w:rsidRPr="00095C0C">
        <w:t>.</w:t>
      </w:r>
    </w:p>
    <w:p w:rsidR="003122A9" w:rsidRDefault="00C05DA5" w:rsidP="0077345C">
      <w:pPr>
        <w:pStyle w:val="Default"/>
        <w:numPr>
          <w:ilvl w:val="1"/>
          <w:numId w:val="5"/>
        </w:numPr>
        <w:ind w:left="1134"/>
      </w:pPr>
      <w:r w:rsidRPr="00095C0C">
        <w:t xml:space="preserve">The Council has enjoyed growth since joining </w:t>
      </w:r>
      <w:r w:rsidR="00A4777C">
        <w:t>the</w:t>
      </w:r>
      <w:r w:rsidR="006C13C3" w:rsidRPr="00095C0C">
        <w:t xml:space="preserve"> </w:t>
      </w:r>
      <w:r w:rsidRPr="00095C0C">
        <w:t>Fund</w:t>
      </w:r>
      <w:r w:rsidR="008E3F37" w:rsidRPr="00095C0C">
        <w:t>, h</w:t>
      </w:r>
      <w:r w:rsidRPr="00095C0C">
        <w:t xml:space="preserve">owever the </w:t>
      </w:r>
      <w:r w:rsidR="0005447D">
        <w:t>B</w:t>
      </w:r>
      <w:r w:rsidRPr="00095C0C">
        <w:t xml:space="preserve">rexit </w:t>
      </w:r>
      <w:r w:rsidR="00A42A57" w:rsidRPr="00095C0C">
        <w:t xml:space="preserve">result </w:t>
      </w:r>
      <w:r w:rsidR="0005447D">
        <w:t xml:space="preserve">did </w:t>
      </w:r>
      <w:r w:rsidR="00A42A57" w:rsidRPr="00095C0C">
        <w:t>ha</w:t>
      </w:r>
      <w:r w:rsidR="0005447D">
        <w:t xml:space="preserve">ve </w:t>
      </w:r>
      <w:r w:rsidR="00A42A57" w:rsidRPr="00095C0C">
        <w:t xml:space="preserve">a considerable effect on </w:t>
      </w:r>
      <w:r w:rsidR="00F83A02">
        <w:t>the</w:t>
      </w:r>
      <w:r w:rsidR="008E3F37" w:rsidRPr="00095C0C">
        <w:t xml:space="preserve"> </w:t>
      </w:r>
      <w:r w:rsidR="00A42A57" w:rsidRPr="00095C0C">
        <w:t>Fund as shown on the chart below</w:t>
      </w:r>
      <w:r w:rsidR="008E3F37" w:rsidRPr="00095C0C">
        <w:t>.  T</w:t>
      </w:r>
      <w:r w:rsidR="00A42A57" w:rsidRPr="00095C0C">
        <w:t>he fund effectively f</w:t>
      </w:r>
      <w:r w:rsidR="002E78CD">
        <w:t>ell</w:t>
      </w:r>
      <w:r w:rsidR="00A42A57" w:rsidRPr="00095C0C">
        <w:t xml:space="preserve"> back to July 2015 </w:t>
      </w:r>
      <w:r w:rsidR="00F83A02">
        <w:t xml:space="preserve">net asset </w:t>
      </w:r>
      <w:r w:rsidR="00A42A57" w:rsidRPr="00095C0C">
        <w:t>values.</w:t>
      </w:r>
      <w:r w:rsidR="002E78CD">
        <w:t xml:space="preserve">  </w:t>
      </w:r>
      <w:r w:rsidR="0005447D">
        <w:t xml:space="preserve">The fund </w:t>
      </w:r>
      <w:r w:rsidR="002E78CD">
        <w:t xml:space="preserve">has </w:t>
      </w:r>
      <w:r w:rsidR="0005447D">
        <w:t xml:space="preserve">since </w:t>
      </w:r>
      <w:r w:rsidR="002E78CD">
        <w:t>recovered</w:t>
      </w:r>
      <w:r w:rsidR="0005447D">
        <w:t xml:space="preserve"> some value and the fund managers are confident the Fund will continue to improve via careful asset selection, tenant management and property improvement.  </w:t>
      </w:r>
      <w:r w:rsidR="00A42A57" w:rsidRPr="00095C0C">
        <w:t xml:space="preserve">The CCLA </w:t>
      </w:r>
      <w:r w:rsidR="006C13C3" w:rsidRPr="00095C0C">
        <w:t xml:space="preserve">fund </w:t>
      </w:r>
      <w:r w:rsidR="00A42A57" w:rsidRPr="00095C0C">
        <w:t xml:space="preserve">managers took the decision to down value the fund by 3% </w:t>
      </w:r>
      <w:r w:rsidR="006C13C3" w:rsidRPr="00095C0C">
        <w:t xml:space="preserve">from </w:t>
      </w:r>
      <w:r w:rsidR="00F4319D">
        <w:t>£</w:t>
      </w:r>
      <w:r w:rsidR="006C13C3" w:rsidRPr="00095C0C">
        <w:t xml:space="preserve">636 million to £617 million </w:t>
      </w:r>
      <w:r w:rsidR="00A42A57" w:rsidRPr="00095C0C">
        <w:t>as a result of uncertainty in th</w:t>
      </w:r>
      <w:r w:rsidR="00E8665F" w:rsidRPr="00095C0C">
        <w:t>e market due to the Brexit vote.</w:t>
      </w:r>
      <w:r w:rsidR="00F4319D">
        <w:t xml:space="preserve">  Other property funds in the market have d</w:t>
      </w:r>
      <w:r w:rsidR="005A1923">
        <w:t>e</w:t>
      </w:r>
      <w:r w:rsidR="00F4319D">
        <w:t>valued further.</w:t>
      </w:r>
      <w:r w:rsidR="0005447D">
        <w:t xml:space="preserve">  As at the 31 December</w:t>
      </w:r>
      <w:r w:rsidR="0038661E">
        <w:t xml:space="preserve"> 2016</w:t>
      </w:r>
      <w:r w:rsidR="0005447D">
        <w:t xml:space="preserve"> fund size has grown to £664 million</w:t>
      </w:r>
      <w:r w:rsidR="0038661E">
        <w:t>.</w:t>
      </w:r>
      <w:r w:rsidR="00F4319D">
        <w:t xml:space="preserve">  </w:t>
      </w:r>
    </w:p>
    <w:p w:rsidR="00F83A02" w:rsidRPr="00095C0C" w:rsidRDefault="00F83A02" w:rsidP="0077345C">
      <w:pPr>
        <w:pStyle w:val="Default"/>
        <w:numPr>
          <w:ilvl w:val="1"/>
          <w:numId w:val="5"/>
        </w:numPr>
        <w:ind w:left="1134"/>
      </w:pPr>
      <w:r>
        <w:t>The Fund managers believe the portfolio of properties remain attractive with strong and robust long-term tenants, low void rates of 4.8%, no gearing and relatively low exposure to City of London and Central London properties.</w:t>
      </w:r>
    </w:p>
    <w:p w:rsidR="00E8665F" w:rsidRPr="00A42A57" w:rsidRDefault="00E8665F" w:rsidP="0077345C">
      <w:pPr>
        <w:pStyle w:val="Default"/>
        <w:numPr>
          <w:ilvl w:val="1"/>
          <w:numId w:val="5"/>
        </w:numPr>
        <w:ind w:left="1134"/>
      </w:pPr>
      <w:r w:rsidRPr="00095C0C">
        <w:t>The Fund still allows redemptions</w:t>
      </w:r>
      <w:r>
        <w:t>.</w:t>
      </w:r>
    </w:p>
    <w:p w:rsidR="00C05DA5" w:rsidRDefault="00C05DA5" w:rsidP="003122A9">
      <w:pPr>
        <w:pStyle w:val="Default"/>
        <w:ind w:left="1440"/>
        <w:rPr>
          <w:highlight w:val="yellow"/>
        </w:rPr>
      </w:pPr>
    </w:p>
    <w:p w:rsidR="00E8665F" w:rsidRDefault="002E78CD" w:rsidP="003122A9">
      <w:pPr>
        <w:pStyle w:val="Default"/>
        <w:ind w:left="1440"/>
        <w:rPr>
          <w:highlight w:val="yellow"/>
        </w:rPr>
      </w:pPr>
      <w:r>
        <w:rPr>
          <w:noProof/>
          <w:lang w:eastAsia="en-GB"/>
        </w:rPr>
        <w:drawing>
          <wp:inline distT="0" distB="0" distL="0" distR="0" wp14:anchorId="5CDD1B34">
            <wp:extent cx="4391025" cy="286882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0470" cy="2874993"/>
                    </a:xfrm>
                    <a:prstGeom prst="rect">
                      <a:avLst/>
                    </a:prstGeom>
                    <a:noFill/>
                  </pic:spPr>
                </pic:pic>
              </a:graphicData>
            </a:graphic>
          </wp:inline>
        </w:drawing>
      </w:r>
    </w:p>
    <w:p w:rsidR="00F4140E" w:rsidRDefault="00F4140E" w:rsidP="005E12AD">
      <w:pPr>
        <w:pStyle w:val="Default"/>
        <w:ind w:left="567"/>
      </w:pPr>
    </w:p>
    <w:p w:rsidR="00F4140E" w:rsidRDefault="00F4140E" w:rsidP="005E12AD">
      <w:pPr>
        <w:pStyle w:val="Default"/>
        <w:ind w:left="567"/>
      </w:pPr>
    </w:p>
    <w:p w:rsidR="005E12AD" w:rsidRPr="00E8665F" w:rsidRDefault="005E12AD" w:rsidP="005E12AD">
      <w:pPr>
        <w:pStyle w:val="Default"/>
        <w:ind w:left="567"/>
      </w:pPr>
      <w:r w:rsidRPr="00095C0C">
        <w:t>The pie chart below shows the asset allocation by type of the Fund</w:t>
      </w:r>
      <w:r w:rsidRPr="00E8665F">
        <w:t>.</w:t>
      </w:r>
    </w:p>
    <w:p w:rsidR="005E12AD" w:rsidRDefault="0005447D" w:rsidP="003122A9">
      <w:pPr>
        <w:pStyle w:val="Default"/>
        <w:ind w:left="1440"/>
        <w:rPr>
          <w:highlight w:val="yellow"/>
        </w:rPr>
      </w:pPr>
      <w:r>
        <w:rPr>
          <w:noProof/>
          <w:lang w:eastAsia="en-GB"/>
        </w:rPr>
        <w:drawing>
          <wp:inline distT="0" distB="0" distL="0" distR="0" wp14:anchorId="0F5E07A4">
            <wp:extent cx="4391025" cy="274764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4068" cy="2749550"/>
                    </a:xfrm>
                    <a:prstGeom prst="rect">
                      <a:avLst/>
                    </a:prstGeom>
                    <a:noFill/>
                  </pic:spPr>
                </pic:pic>
              </a:graphicData>
            </a:graphic>
          </wp:inline>
        </w:drawing>
      </w:r>
    </w:p>
    <w:p w:rsidR="00E8665F" w:rsidRDefault="00E8665F" w:rsidP="003122A9">
      <w:pPr>
        <w:pStyle w:val="Default"/>
        <w:ind w:left="1440"/>
        <w:rPr>
          <w:highlight w:val="yellow"/>
        </w:rPr>
      </w:pPr>
    </w:p>
    <w:p w:rsidR="0005447D" w:rsidRDefault="0005447D" w:rsidP="003122A9">
      <w:pPr>
        <w:pStyle w:val="Default"/>
        <w:ind w:left="1440"/>
        <w:rPr>
          <w:highlight w:val="yellow"/>
        </w:rPr>
      </w:pPr>
    </w:p>
    <w:p w:rsidR="0015689E" w:rsidRDefault="0015689E" w:rsidP="003122A9">
      <w:pPr>
        <w:pStyle w:val="Default"/>
        <w:ind w:left="1440"/>
        <w:rPr>
          <w:highlight w:val="yellow"/>
        </w:rPr>
      </w:pPr>
    </w:p>
    <w:p w:rsidR="008E3F37" w:rsidRPr="00095C0C" w:rsidRDefault="006C13C3" w:rsidP="0077345C">
      <w:pPr>
        <w:pStyle w:val="Default"/>
        <w:numPr>
          <w:ilvl w:val="1"/>
          <w:numId w:val="5"/>
        </w:numPr>
        <w:ind w:left="1134"/>
      </w:pPr>
      <w:r w:rsidRPr="00095C0C">
        <w:rPr>
          <w:b/>
        </w:rPr>
        <w:t xml:space="preserve">Lothbury </w:t>
      </w:r>
      <w:r w:rsidRPr="00095C0C">
        <w:t xml:space="preserve">– </w:t>
      </w:r>
      <w:r w:rsidR="007B783D" w:rsidRPr="00095C0C">
        <w:t xml:space="preserve">£7 million is currently invested </w:t>
      </w:r>
      <w:r w:rsidR="008E3F37" w:rsidRPr="00095C0C">
        <w:t xml:space="preserve">in the Lothbury Property Fund held in two tranches. </w:t>
      </w:r>
      <w:r w:rsidR="00C74869">
        <w:t xml:space="preserve">The capital </w:t>
      </w:r>
      <w:r w:rsidR="008E3F37" w:rsidRPr="00095C0C">
        <w:t xml:space="preserve">value </w:t>
      </w:r>
      <w:r w:rsidR="00C74869">
        <w:t xml:space="preserve">as at the end of </w:t>
      </w:r>
      <w:r w:rsidR="00F266AC">
        <w:t>February</w:t>
      </w:r>
      <w:r w:rsidR="0038661E">
        <w:t xml:space="preserve"> </w:t>
      </w:r>
      <w:r w:rsidR="00C74869">
        <w:t>201</w:t>
      </w:r>
      <w:r w:rsidR="00F266AC">
        <w:t>7</w:t>
      </w:r>
      <w:r w:rsidR="00C74869">
        <w:t xml:space="preserve"> was</w:t>
      </w:r>
      <w:r w:rsidR="009D0DE7">
        <w:t xml:space="preserve"> £7,</w:t>
      </w:r>
      <w:r w:rsidR="00F266AC">
        <w:t>814</w:t>
      </w:r>
      <w:r w:rsidR="009D0DE7">
        <w:t>,</w:t>
      </w:r>
      <w:r w:rsidR="00F266AC">
        <w:t>355</w:t>
      </w:r>
      <w:r w:rsidR="008E3F37" w:rsidRPr="00095C0C">
        <w:t>.</w:t>
      </w:r>
    </w:p>
    <w:p w:rsidR="00CD1963" w:rsidRPr="00095C0C" w:rsidRDefault="00F266AC" w:rsidP="0077345C">
      <w:pPr>
        <w:pStyle w:val="Default"/>
        <w:numPr>
          <w:ilvl w:val="1"/>
          <w:numId w:val="5"/>
        </w:numPr>
        <w:ind w:left="1134"/>
      </w:pPr>
      <w:r w:rsidRPr="00095C0C">
        <w:t xml:space="preserve">The Council has enjoyed growth since joining </w:t>
      </w:r>
      <w:r>
        <w:t>the</w:t>
      </w:r>
      <w:r w:rsidRPr="00095C0C">
        <w:t xml:space="preserve"> Fund, however the </w:t>
      </w:r>
      <w:r>
        <w:t>B</w:t>
      </w:r>
      <w:r w:rsidRPr="00095C0C">
        <w:t xml:space="preserve">rexit result </w:t>
      </w:r>
      <w:r>
        <w:t xml:space="preserve">did </w:t>
      </w:r>
      <w:r w:rsidRPr="00095C0C">
        <w:t>ha</w:t>
      </w:r>
      <w:r>
        <w:t xml:space="preserve">ve </w:t>
      </w:r>
      <w:r w:rsidRPr="00095C0C">
        <w:t xml:space="preserve">a considerable effect on </w:t>
      </w:r>
      <w:r>
        <w:t>the</w:t>
      </w:r>
      <w:r w:rsidRPr="00095C0C">
        <w:t xml:space="preserve"> Fund as shown on the chart below.  The fund effectively f</w:t>
      </w:r>
      <w:r>
        <w:t>ell</w:t>
      </w:r>
      <w:r w:rsidRPr="00095C0C">
        <w:t xml:space="preserve"> back to </w:t>
      </w:r>
      <w:r>
        <w:t>September</w:t>
      </w:r>
      <w:r w:rsidRPr="00095C0C">
        <w:t xml:space="preserve"> 2015 </w:t>
      </w:r>
      <w:r>
        <w:t xml:space="preserve">net asset </w:t>
      </w:r>
      <w:r w:rsidRPr="00095C0C">
        <w:t>values</w:t>
      </w:r>
      <w:r>
        <w:t>.  However the Fund has recovered strongly and is very close to its pre</w:t>
      </w:r>
      <w:r w:rsidR="0038661E">
        <w:t xml:space="preserve"> </w:t>
      </w:r>
      <w:r>
        <w:t>Brexit levels.</w:t>
      </w:r>
      <w:r w:rsidR="004B6F12">
        <w:t xml:space="preserve">  The Fund managers believe the Fund comprises investments in prime properties that are high quality, well located and secured with excellent tenants.  As at 31 December</w:t>
      </w:r>
      <w:r w:rsidR="0038661E">
        <w:t xml:space="preserve"> 2016</w:t>
      </w:r>
      <w:r w:rsidR="004B6F12">
        <w:t xml:space="preserve"> fund size was £1.54 billion</w:t>
      </w:r>
    </w:p>
    <w:p w:rsidR="00E8665F" w:rsidRDefault="00E8665F" w:rsidP="0077345C">
      <w:pPr>
        <w:pStyle w:val="Default"/>
        <w:numPr>
          <w:ilvl w:val="1"/>
          <w:numId w:val="5"/>
        </w:numPr>
        <w:ind w:left="1134"/>
      </w:pPr>
      <w:r w:rsidRPr="00095C0C">
        <w:t>The Fund still allows redemptions.</w:t>
      </w:r>
    </w:p>
    <w:p w:rsidR="00F4140E" w:rsidRPr="00095C0C" w:rsidRDefault="00F4140E" w:rsidP="00F4140E">
      <w:pPr>
        <w:pStyle w:val="Default"/>
        <w:ind w:left="1134"/>
      </w:pPr>
    </w:p>
    <w:p w:rsidR="00CD1963" w:rsidRDefault="00F266AC" w:rsidP="00E8665F">
      <w:pPr>
        <w:pStyle w:val="Default"/>
        <w:ind w:left="1440"/>
      </w:pPr>
      <w:r>
        <w:rPr>
          <w:noProof/>
          <w:lang w:eastAsia="en-GB"/>
        </w:rPr>
        <w:drawing>
          <wp:inline distT="0" distB="0" distL="0" distR="0" wp14:anchorId="79590E0E">
            <wp:extent cx="4629150" cy="296140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27794" cy="2960536"/>
                    </a:xfrm>
                    <a:prstGeom prst="rect">
                      <a:avLst/>
                    </a:prstGeom>
                    <a:noFill/>
                  </pic:spPr>
                </pic:pic>
              </a:graphicData>
            </a:graphic>
          </wp:inline>
        </w:drawing>
      </w:r>
    </w:p>
    <w:p w:rsidR="006C13C3" w:rsidRDefault="006C13C3" w:rsidP="00CD1963">
      <w:pPr>
        <w:pStyle w:val="Default"/>
      </w:pPr>
    </w:p>
    <w:p w:rsidR="00F4140E" w:rsidRDefault="00F4140E" w:rsidP="00E8665F">
      <w:pPr>
        <w:pStyle w:val="Default"/>
        <w:ind w:left="1440"/>
      </w:pPr>
    </w:p>
    <w:p w:rsidR="00F4140E" w:rsidRDefault="00F4140E" w:rsidP="00E8665F">
      <w:pPr>
        <w:pStyle w:val="Default"/>
        <w:ind w:left="1440"/>
      </w:pPr>
    </w:p>
    <w:p w:rsidR="00E8665F" w:rsidRDefault="00E8665F" w:rsidP="00E8665F">
      <w:pPr>
        <w:pStyle w:val="Default"/>
        <w:ind w:left="1440"/>
      </w:pPr>
      <w:r w:rsidRPr="00E8665F">
        <w:t>The pie chart below shows the asset allocation by type of the Fund.</w:t>
      </w:r>
    </w:p>
    <w:p w:rsidR="00F4140E" w:rsidRPr="00E8665F" w:rsidRDefault="00912998" w:rsidP="00E8665F">
      <w:pPr>
        <w:pStyle w:val="Default"/>
        <w:ind w:left="1440"/>
      </w:pPr>
      <w:r>
        <w:rPr>
          <w:noProof/>
          <w:lang w:eastAsia="en-GB"/>
        </w:rPr>
        <w:drawing>
          <wp:inline distT="0" distB="0" distL="0" distR="0" wp14:anchorId="5A31C600">
            <wp:extent cx="4584700" cy="27559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E8665F" w:rsidRDefault="00E8665F" w:rsidP="00CD1963">
      <w:pPr>
        <w:pStyle w:val="Default"/>
      </w:pPr>
      <w:r>
        <w:tab/>
      </w:r>
      <w:r>
        <w:tab/>
      </w:r>
    </w:p>
    <w:p w:rsidR="00E8665F" w:rsidRDefault="00E8665F" w:rsidP="00CD1963">
      <w:pPr>
        <w:pStyle w:val="Default"/>
      </w:pPr>
    </w:p>
    <w:p w:rsidR="0028625B" w:rsidRPr="008E3F37" w:rsidRDefault="0028625B" w:rsidP="00CD1963">
      <w:pPr>
        <w:pStyle w:val="Default"/>
      </w:pPr>
    </w:p>
    <w:p w:rsidR="007B783D" w:rsidRPr="00103B13" w:rsidRDefault="007B783D" w:rsidP="00205FDC">
      <w:pPr>
        <w:pStyle w:val="Default"/>
        <w:numPr>
          <w:ilvl w:val="1"/>
          <w:numId w:val="5"/>
        </w:numPr>
        <w:ind w:left="993" w:hanging="567"/>
      </w:pPr>
      <w:r w:rsidRPr="00103B13">
        <w:rPr>
          <w:b/>
        </w:rPr>
        <w:t xml:space="preserve">Real Assets Lettings </w:t>
      </w:r>
      <w:r w:rsidRPr="00103B13">
        <w:t>– The Council has recently invested an amount of £5million with match funding from the Big Society to purchase houses for homeless families. Although essentially this is a service requirement the Council does expect to make around 3% rate</w:t>
      </w:r>
      <w:r w:rsidR="00726795" w:rsidRPr="00103B13">
        <w:t xml:space="preserve"> </w:t>
      </w:r>
      <w:r w:rsidRPr="00103B13">
        <w:t>of return commencing next financial year plus a share in the uplift in the value of the 50 properties purchased</w:t>
      </w:r>
    </w:p>
    <w:p w:rsidR="006C13C3" w:rsidRDefault="006C13C3" w:rsidP="006C13C3">
      <w:pPr>
        <w:pStyle w:val="Default"/>
      </w:pPr>
    </w:p>
    <w:p w:rsidR="00AC00EE" w:rsidRDefault="00AC00EE" w:rsidP="006C13C3">
      <w:pPr>
        <w:pStyle w:val="Default"/>
      </w:pPr>
    </w:p>
    <w:p w:rsidR="00AC00EE" w:rsidRDefault="00AC00EE" w:rsidP="006C13C3">
      <w:pPr>
        <w:pStyle w:val="Default"/>
      </w:pPr>
    </w:p>
    <w:p w:rsidR="0096290D" w:rsidRDefault="0096290D" w:rsidP="003F7EDF">
      <w:pPr>
        <w:pStyle w:val="Default"/>
        <w:numPr>
          <w:ilvl w:val="0"/>
          <w:numId w:val="8"/>
        </w:numPr>
        <w:ind w:left="426" w:hanging="426"/>
        <w:rPr>
          <w:b/>
        </w:rPr>
      </w:pPr>
      <w:r w:rsidRPr="0096290D">
        <w:rPr>
          <w:b/>
        </w:rPr>
        <w:t>Borrowing</w:t>
      </w:r>
    </w:p>
    <w:p w:rsidR="0096290D" w:rsidRDefault="0096290D" w:rsidP="0077345C">
      <w:pPr>
        <w:pStyle w:val="Default"/>
        <w:ind w:left="426"/>
      </w:pPr>
      <w:r>
        <w:t>Within the Council</w:t>
      </w:r>
      <w:r w:rsidR="00FF172B">
        <w:t>’</w:t>
      </w:r>
      <w:r>
        <w:t xml:space="preserve">s Medium Term Financial Plan provision has been made for the following prudential </w:t>
      </w:r>
      <w:r w:rsidR="0077345C">
        <w:t>borrowing</w:t>
      </w:r>
      <w:r>
        <w:t>:</w:t>
      </w:r>
    </w:p>
    <w:p w:rsidR="0096290D" w:rsidRDefault="0096290D" w:rsidP="0096290D">
      <w:pPr>
        <w:pStyle w:val="Default"/>
        <w:ind w:left="720"/>
      </w:pPr>
    </w:p>
    <w:tbl>
      <w:tblPr>
        <w:tblStyle w:val="TableGrid"/>
        <w:tblW w:w="0" w:type="auto"/>
        <w:tblInd w:w="720" w:type="dxa"/>
        <w:tblLook w:val="04A0" w:firstRow="1" w:lastRow="0" w:firstColumn="1" w:lastColumn="0" w:noHBand="0" w:noVBand="1"/>
      </w:tblPr>
      <w:tblGrid>
        <w:gridCol w:w="1478"/>
        <w:gridCol w:w="1472"/>
        <w:gridCol w:w="1613"/>
        <w:gridCol w:w="1381"/>
        <w:gridCol w:w="1414"/>
      </w:tblGrid>
      <w:tr w:rsidR="00455959" w:rsidRPr="00A4777C" w:rsidTr="00F614A9">
        <w:tc>
          <w:tcPr>
            <w:tcW w:w="1478" w:type="dxa"/>
            <w:shd w:val="clear" w:color="auto" w:fill="D9D9D9" w:themeFill="background1" w:themeFillShade="D9"/>
          </w:tcPr>
          <w:p w:rsidR="00455959" w:rsidRPr="00A4777C" w:rsidRDefault="00455959" w:rsidP="00F614A9">
            <w:pPr>
              <w:pStyle w:val="Default"/>
              <w:rPr>
                <w:b/>
              </w:rPr>
            </w:pPr>
          </w:p>
        </w:tc>
        <w:tc>
          <w:tcPr>
            <w:tcW w:w="1472" w:type="dxa"/>
            <w:shd w:val="clear" w:color="auto" w:fill="D9D9D9" w:themeFill="background1" w:themeFillShade="D9"/>
          </w:tcPr>
          <w:p w:rsidR="00455959" w:rsidRPr="00A4777C" w:rsidRDefault="00455959" w:rsidP="00F614A9">
            <w:pPr>
              <w:pStyle w:val="Default"/>
              <w:rPr>
                <w:b/>
              </w:rPr>
            </w:pPr>
            <w:r w:rsidRPr="00A4777C">
              <w:rPr>
                <w:b/>
              </w:rPr>
              <w:t>HRA</w:t>
            </w:r>
          </w:p>
        </w:tc>
        <w:tc>
          <w:tcPr>
            <w:tcW w:w="1613" w:type="dxa"/>
            <w:shd w:val="clear" w:color="auto" w:fill="D9D9D9" w:themeFill="background1" w:themeFillShade="D9"/>
          </w:tcPr>
          <w:p w:rsidR="00455959" w:rsidRPr="00A4777C" w:rsidRDefault="00455959" w:rsidP="00F614A9">
            <w:pPr>
              <w:pStyle w:val="Default"/>
              <w:rPr>
                <w:b/>
              </w:rPr>
            </w:pPr>
            <w:r w:rsidRPr="00A4777C">
              <w:rPr>
                <w:b/>
              </w:rPr>
              <w:t>General Fund</w:t>
            </w:r>
          </w:p>
        </w:tc>
        <w:tc>
          <w:tcPr>
            <w:tcW w:w="1381" w:type="dxa"/>
            <w:shd w:val="clear" w:color="auto" w:fill="D9D9D9" w:themeFill="background1" w:themeFillShade="D9"/>
          </w:tcPr>
          <w:p w:rsidR="00455959" w:rsidRPr="00A4777C" w:rsidRDefault="00455959" w:rsidP="00F614A9">
            <w:pPr>
              <w:pStyle w:val="Default"/>
              <w:rPr>
                <w:b/>
              </w:rPr>
            </w:pPr>
            <w:r w:rsidRPr="00A4777C">
              <w:rPr>
                <w:b/>
              </w:rPr>
              <w:t>Housing Company</w:t>
            </w:r>
          </w:p>
        </w:tc>
        <w:tc>
          <w:tcPr>
            <w:tcW w:w="1414" w:type="dxa"/>
            <w:shd w:val="clear" w:color="auto" w:fill="D9D9D9" w:themeFill="background1" w:themeFillShade="D9"/>
          </w:tcPr>
          <w:p w:rsidR="00455959" w:rsidRPr="00A4777C" w:rsidRDefault="00455959" w:rsidP="00F614A9">
            <w:pPr>
              <w:pStyle w:val="Default"/>
              <w:rPr>
                <w:b/>
              </w:rPr>
            </w:pPr>
            <w:r w:rsidRPr="00A4777C">
              <w:rPr>
                <w:b/>
              </w:rPr>
              <w:t>Total</w:t>
            </w:r>
          </w:p>
        </w:tc>
      </w:tr>
      <w:tr w:rsidR="00455959" w:rsidRPr="00A4777C" w:rsidTr="00F614A9">
        <w:tc>
          <w:tcPr>
            <w:tcW w:w="1478" w:type="dxa"/>
            <w:shd w:val="clear" w:color="auto" w:fill="D9D9D9" w:themeFill="background1" w:themeFillShade="D9"/>
          </w:tcPr>
          <w:p w:rsidR="00455959" w:rsidRPr="00A4777C" w:rsidRDefault="00455959" w:rsidP="00F614A9">
            <w:pPr>
              <w:pStyle w:val="Default"/>
              <w:rPr>
                <w:b/>
              </w:rPr>
            </w:pPr>
          </w:p>
        </w:tc>
        <w:tc>
          <w:tcPr>
            <w:tcW w:w="1472" w:type="dxa"/>
            <w:shd w:val="clear" w:color="auto" w:fill="D9D9D9" w:themeFill="background1" w:themeFillShade="D9"/>
          </w:tcPr>
          <w:p w:rsidR="00455959" w:rsidRPr="00A4777C" w:rsidRDefault="00455959" w:rsidP="00F614A9">
            <w:pPr>
              <w:pStyle w:val="Default"/>
              <w:jc w:val="center"/>
              <w:rPr>
                <w:b/>
              </w:rPr>
            </w:pPr>
            <w:r w:rsidRPr="00A4777C">
              <w:rPr>
                <w:b/>
              </w:rPr>
              <w:t>£000’s</w:t>
            </w:r>
          </w:p>
        </w:tc>
        <w:tc>
          <w:tcPr>
            <w:tcW w:w="1613" w:type="dxa"/>
            <w:shd w:val="clear" w:color="auto" w:fill="D9D9D9" w:themeFill="background1" w:themeFillShade="D9"/>
          </w:tcPr>
          <w:p w:rsidR="00455959" w:rsidRPr="00A4777C" w:rsidRDefault="00455959" w:rsidP="00F614A9">
            <w:pPr>
              <w:pStyle w:val="Default"/>
              <w:jc w:val="center"/>
              <w:rPr>
                <w:b/>
              </w:rPr>
            </w:pPr>
            <w:r w:rsidRPr="00A4777C">
              <w:rPr>
                <w:b/>
              </w:rPr>
              <w:t>£000’s</w:t>
            </w:r>
          </w:p>
        </w:tc>
        <w:tc>
          <w:tcPr>
            <w:tcW w:w="1381" w:type="dxa"/>
            <w:shd w:val="clear" w:color="auto" w:fill="D9D9D9" w:themeFill="background1" w:themeFillShade="D9"/>
          </w:tcPr>
          <w:p w:rsidR="00455959" w:rsidRPr="00A4777C" w:rsidRDefault="00455959" w:rsidP="00F614A9">
            <w:pPr>
              <w:jc w:val="center"/>
              <w:rPr>
                <w:b/>
              </w:rPr>
            </w:pPr>
            <w:r w:rsidRPr="00A4777C">
              <w:rPr>
                <w:b/>
              </w:rPr>
              <w:t>£000’s</w:t>
            </w:r>
          </w:p>
        </w:tc>
        <w:tc>
          <w:tcPr>
            <w:tcW w:w="1414" w:type="dxa"/>
            <w:shd w:val="clear" w:color="auto" w:fill="D9D9D9" w:themeFill="background1" w:themeFillShade="D9"/>
          </w:tcPr>
          <w:p w:rsidR="00455959" w:rsidRPr="00A4777C" w:rsidRDefault="00455959" w:rsidP="00F614A9">
            <w:pPr>
              <w:pStyle w:val="Default"/>
              <w:jc w:val="center"/>
              <w:rPr>
                <w:b/>
              </w:rPr>
            </w:pPr>
            <w:r w:rsidRPr="00A4777C">
              <w:rPr>
                <w:b/>
              </w:rPr>
              <w:t>£000’s</w:t>
            </w:r>
          </w:p>
        </w:tc>
      </w:tr>
      <w:tr w:rsidR="00455959" w:rsidTr="00F614A9">
        <w:tc>
          <w:tcPr>
            <w:tcW w:w="1478" w:type="dxa"/>
          </w:tcPr>
          <w:p w:rsidR="00455959" w:rsidRDefault="00455959" w:rsidP="00F614A9">
            <w:pPr>
              <w:pStyle w:val="Default"/>
            </w:pPr>
            <w:r>
              <w:t>2017/18</w:t>
            </w:r>
          </w:p>
        </w:tc>
        <w:tc>
          <w:tcPr>
            <w:tcW w:w="1472" w:type="dxa"/>
          </w:tcPr>
          <w:p w:rsidR="00455959" w:rsidRDefault="00455959" w:rsidP="00F614A9">
            <w:pPr>
              <w:pStyle w:val="Default"/>
              <w:jc w:val="right"/>
            </w:pPr>
            <w:r>
              <w:t>-</w:t>
            </w:r>
          </w:p>
        </w:tc>
        <w:tc>
          <w:tcPr>
            <w:tcW w:w="1613" w:type="dxa"/>
          </w:tcPr>
          <w:p w:rsidR="00455959" w:rsidRDefault="00455959" w:rsidP="00F614A9">
            <w:pPr>
              <w:pStyle w:val="Default"/>
              <w:jc w:val="right"/>
            </w:pPr>
            <w:r>
              <w:t>14,420</w:t>
            </w:r>
          </w:p>
        </w:tc>
        <w:tc>
          <w:tcPr>
            <w:tcW w:w="1381" w:type="dxa"/>
          </w:tcPr>
          <w:p w:rsidR="00455959" w:rsidRDefault="00455959" w:rsidP="00F614A9">
            <w:pPr>
              <w:pStyle w:val="Default"/>
              <w:jc w:val="right"/>
            </w:pPr>
            <w:r>
              <w:t>3,000</w:t>
            </w:r>
          </w:p>
        </w:tc>
        <w:tc>
          <w:tcPr>
            <w:tcW w:w="1414" w:type="dxa"/>
          </w:tcPr>
          <w:p w:rsidR="00455959" w:rsidRDefault="00455959" w:rsidP="00F614A9">
            <w:pPr>
              <w:pStyle w:val="Default"/>
              <w:jc w:val="right"/>
            </w:pPr>
            <w:r>
              <w:t>17,420</w:t>
            </w:r>
          </w:p>
        </w:tc>
      </w:tr>
      <w:tr w:rsidR="00455959" w:rsidTr="00F614A9">
        <w:tc>
          <w:tcPr>
            <w:tcW w:w="1478" w:type="dxa"/>
          </w:tcPr>
          <w:p w:rsidR="00455959" w:rsidRDefault="00455959" w:rsidP="00F614A9">
            <w:pPr>
              <w:pStyle w:val="Default"/>
            </w:pPr>
            <w:r>
              <w:t>2018/19</w:t>
            </w:r>
          </w:p>
        </w:tc>
        <w:tc>
          <w:tcPr>
            <w:tcW w:w="1472" w:type="dxa"/>
          </w:tcPr>
          <w:p w:rsidR="00455959" w:rsidRDefault="00455959" w:rsidP="00F614A9">
            <w:pPr>
              <w:pStyle w:val="Default"/>
              <w:jc w:val="right"/>
            </w:pPr>
            <w:r>
              <w:t>-</w:t>
            </w:r>
          </w:p>
        </w:tc>
        <w:tc>
          <w:tcPr>
            <w:tcW w:w="1613" w:type="dxa"/>
          </w:tcPr>
          <w:p w:rsidR="00455959" w:rsidRDefault="00455959" w:rsidP="00F614A9">
            <w:pPr>
              <w:pStyle w:val="Default"/>
              <w:jc w:val="right"/>
            </w:pPr>
            <w:r>
              <w:t>5,039</w:t>
            </w:r>
          </w:p>
        </w:tc>
        <w:tc>
          <w:tcPr>
            <w:tcW w:w="1381" w:type="dxa"/>
          </w:tcPr>
          <w:p w:rsidR="00455959" w:rsidRDefault="00455959" w:rsidP="00F614A9">
            <w:pPr>
              <w:pStyle w:val="Default"/>
              <w:jc w:val="right"/>
            </w:pPr>
            <w:r>
              <w:t>29,000</w:t>
            </w:r>
          </w:p>
        </w:tc>
        <w:tc>
          <w:tcPr>
            <w:tcW w:w="1414" w:type="dxa"/>
          </w:tcPr>
          <w:p w:rsidR="00455959" w:rsidRDefault="00455959" w:rsidP="00F614A9">
            <w:pPr>
              <w:pStyle w:val="Default"/>
              <w:jc w:val="right"/>
            </w:pPr>
            <w:r>
              <w:t>34,039</w:t>
            </w:r>
          </w:p>
        </w:tc>
      </w:tr>
      <w:tr w:rsidR="00455959" w:rsidTr="00F614A9">
        <w:tc>
          <w:tcPr>
            <w:tcW w:w="1478" w:type="dxa"/>
          </w:tcPr>
          <w:p w:rsidR="00455959" w:rsidRDefault="00455959" w:rsidP="00F614A9">
            <w:pPr>
              <w:pStyle w:val="Default"/>
            </w:pPr>
            <w:r>
              <w:t>2019/20</w:t>
            </w:r>
          </w:p>
        </w:tc>
        <w:tc>
          <w:tcPr>
            <w:tcW w:w="1472" w:type="dxa"/>
          </w:tcPr>
          <w:p w:rsidR="00455959" w:rsidRDefault="00455959" w:rsidP="00F614A9">
            <w:pPr>
              <w:pStyle w:val="Default"/>
              <w:jc w:val="right"/>
            </w:pPr>
            <w:r>
              <w:t>-</w:t>
            </w:r>
          </w:p>
        </w:tc>
        <w:tc>
          <w:tcPr>
            <w:tcW w:w="1613" w:type="dxa"/>
          </w:tcPr>
          <w:p w:rsidR="00455959" w:rsidRDefault="00455959" w:rsidP="00F614A9">
            <w:pPr>
              <w:pStyle w:val="Default"/>
              <w:jc w:val="right"/>
            </w:pPr>
            <w:r>
              <w:t>708</w:t>
            </w:r>
          </w:p>
        </w:tc>
        <w:tc>
          <w:tcPr>
            <w:tcW w:w="1381" w:type="dxa"/>
          </w:tcPr>
          <w:p w:rsidR="00455959" w:rsidRDefault="00455959" w:rsidP="00F614A9">
            <w:pPr>
              <w:pStyle w:val="Default"/>
              <w:jc w:val="right"/>
            </w:pPr>
            <w:r>
              <w:t>17,000</w:t>
            </w:r>
          </w:p>
        </w:tc>
        <w:tc>
          <w:tcPr>
            <w:tcW w:w="1414" w:type="dxa"/>
          </w:tcPr>
          <w:p w:rsidR="00455959" w:rsidRDefault="00455959" w:rsidP="00F614A9">
            <w:pPr>
              <w:pStyle w:val="Default"/>
              <w:jc w:val="right"/>
            </w:pPr>
            <w:r>
              <w:t>17,708</w:t>
            </w:r>
          </w:p>
        </w:tc>
      </w:tr>
      <w:tr w:rsidR="00455959" w:rsidTr="00F614A9">
        <w:tc>
          <w:tcPr>
            <w:tcW w:w="1478" w:type="dxa"/>
          </w:tcPr>
          <w:p w:rsidR="00455959" w:rsidRDefault="00455959" w:rsidP="00F614A9">
            <w:pPr>
              <w:pStyle w:val="Default"/>
            </w:pPr>
            <w:r>
              <w:t>2020/21</w:t>
            </w:r>
          </w:p>
        </w:tc>
        <w:tc>
          <w:tcPr>
            <w:tcW w:w="1472" w:type="dxa"/>
          </w:tcPr>
          <w:p w:rsidR="00455959" w:rsidRDefault="00455959" w:rsidP="00F614A9">
            <w:pPr>
              <w:pStyle w:val="Default"/>
              <w:jc w:val="right"/>
            </w:pPr>
          </w:p>
        </w:tc>
        <w:tc>
          <w:tcPr>
            <w:tcW w:w="1613" w:type="dxa"/>
          </w:tcPr>
          <w:p w:rsidR="00455959" w:rsidRDefault="00455959" w:rsidP="00F614A9">
            <w:pPr>
              <w:pStyle w:val="Default"/>
              <w:jc w:val="right"/>
            </w:pPr>
            <w:r>
              <w:t>705</w:t>
            </w:r>
          </w:p>
        </w:tc>
        <w:tc>
          <w:tcPr>
            <w:tcW w:w="1381" w:type="dxa"/>
          </w:tcPr>
          <w:p w:rsidR="00455959" w:rsidRDefault="00455959" w:rsidP="00F614A9">
            <w:pPr>
              <w:pStyle w:val="Default"/>
              <w:jc w:val="right"/>
            </w:pPr>
            <w:r>
              <w:t>12,000</w:t>
            </w:r>
          </w:p>
        </w:tc>
        <w:tc>
          <w:tcPr>
            <w:tcW w:w="1414" w:type="dxa"/>
          </w:tcPr>
          <w:p w:rsidR="00455959" w:rsidRDefault="00455959" w:rsidP="00F614A9">
            <w:pPr>
              <w:pStyle w:val="Default"/>
              <w:jc w:val="right"/>
            </w:pPr>
            <w:r>
              <w:t>12,705</w:t>
            </w:r>
          </w:p>
        </w:tc>
      </w:tr>
      <w:tr w:rsidR="00455959" w:rsidTr="00F614A9">
        <w:tc>
          <w:tcPr>
            <w:tcW w:w="1478" w:type="dxa"/>
          </w:tcPr>
          <w:p w:rsidR="00455959" w:rsidRDefault="00455959" w:rsidP="00F614A9">
            <w:pPr>
              <w:pStyle w:val="Default"/>
            </w:pPr>
          </w:p>
        </w:tc>
        <w:tc>
          <w:tcPr>
            <w:tcW w:w="1472" w:type="dxa"/>
          </w:tcPr>
          <w:p w:rsidR="00455959" w:rsidRDefault="00455959" w:rsidP="00F614A9">
            <w:pPr>
              <w:pStyle w:val="Default"/>
              <w:jc w:val="right"/>
            </w:pPr>
          </w:p>
        </w:tc>
        <w:tc>
          <w:tcPr>
            <w:tcW w:w="1613" w:type="dxa"/>
          </w:tcPr>
          <w:p w:rsidR="00455959" w:rsidRDefault="00455959" w:rsidP="00F614A9">
            <w:pPr>
              <w:pStyle w:val="Default"/>
              <w:jc w:val="right"/>
            </w:pPr>
          </w:p>
        </w:tc>
        <w:tc>
          <w:tcPr>
            <w:tcW w:w="1381" w:type="dxa"/>
          </w:tcPr>
          <w:p w:rsidR="00455959" w:rsidRDefault="00455959" w:rsidP="00F614A9">
            <w:pPr>
              <w:pStyle w:val="Default"/>
              <w:jc w:val="right"/>
            </w:pPr>
          </w:p>
        </w:tc>
        <w:tc>
          <w:tcPr>
            <w:tcW w:w="1414" w:type="dxa"/>
          </w:tcPr>
          <w:p w:rsidR="00455959" w:rsidRDefault="00455959" w:rsidP="00F614A9">
            <w:pPr>
              <w:pStyle w:val="Default"/>
              <w:jc w:val="right"/>
            </w:pPr>
          </w:p>
        </w:tc>
      </w:tr>
      <w:tr w:rsidR="00455959" w:rsidTr="00F614A9">
        <w:tc>
          <w:tcPr>
            <w:tcW w:w="1478" w:type="dxa"/>
          </w:tcPr>
          <w:p w:rsidR="00455959" w:rsidRDefault="00455959" w:rsidP="00F614A9">
            <w:pPr>
              <w:pStyle w:val="Default"/>
            </w:pPr>
            <w:r>
              <w:t xml:space="preserve">Total </w:t>
            </w:r>
          </w:p>
        </w:tc>
        <w:tc>
          <w:tcPr>
            <w:tcW w:w="1472" w:type="dxa"/>
          </w:tcPr>
          <w:p w:rsidR="00455959" w:rsidRDefault="00455959" w:rsidP="00F614A9">
            <w:pPr>
              <w:pStyle w:val="Default"/>
              <w:jc w:val="right"/>
            </w:pPr>
            <w:r>
              <w:t>-</w:t>
            </w:r>
          </w:p>
        </w:tc>
        <w:tc>
          <w:tcPr>
            <w:tcW w:w="1613" w:type="dxa"/>
          </w:tcPr>
          <w:p w:rsidR="00455959" w:rsidRDefault="00455959" w:rsidP="00F614A9">
            <w:pPr>
              <w:pStyle w:val="Default"/>
              <w:jc w:val="right"/>
            </w:pPr>
            <w:r>
              <w:t>21,872</w:t>
            </w:r>
          </w:p>
        </w:tc>
        <w:tc>
          <w:tcPr>
            <w:tcW w:w="1381" w:type="dxa"/>
          </w:tcPr>
          <w:p w:rsidR="00455959" w:rsidRDefault="00455959" w:rsidP="00F614A9">
            <w:pPr>
              <w:pStyle w:val="Default"/>
              <w:jc w:val="right"/>
            </w:pPr>
            <w:r>
              <w:t>61,000</w:t>
            </w:r>
          </w:p>
        </w:tc>
        <w:tc>
          <w:tcPr>
            <w:tcW w:w="1414" w:type="dxa"/>
          </w:tcPr>
          <w:p w:rsidR="00455959" w:rsidRDefault="00455959" w:rsidP="00F614A9">
            <w:pPr>
              <w:pStyle w:val="Default"/>
              <w:jc w:val="right"/>
            </w:pPr>
            <w:r>
              <w:t>81,872</w:t>
            </w:r>
          </w:p>
        </w:tc>
      </w:tr>
    </w:tbl>
    <w:p w:rsidR="00455959" w:rsidRDefault="00455959" w:rsidP="0096290D">
      <w:pPr>
        <w:pStyle w:val="Default"/>
        <w:ind w:left="720"/>
      </w:pPr>
    </w:p>
    <w:p w:rsidR="0096290D" w:rsidRDefault="0096290D" w:rsidP="00205FDC">
      <w:pPr>
        <w:pStyle w:val="Default"/>
        <w:ind w:left="426"/>
      </w:pPr>
      <w:r>
        <w:t xml:space="preserve">The Council currently has around £20 million </w:t>
      </w:r>
      <w:r w:rsidR="00D009D3">
        <w:t xml:space="preserve">of internal borrowing </w:t>
      </w:r>
      <w:r>
        <w:t xml:space="preserve">and reserves and balances </w:t>
      </w:r>
      <w:r w:rsidR="00A4777C">
        <w:t xml:space="preserve">of </w:t>
      </w:r>
      <w:r>
        <w:t>around £60 million</w:t>
      </w:r>
      <w:r w:rsidR="00E40C82">
        <w:t xml:space="preserve"> which </w:t>
      </w:r>
      <w:r w:rsidR="00557C24">
        <w:t xml:space="preserve">potentially </w:t>
      </w:r>
      <w:r w:rsidR="00E40C82">
        <w:t xml:space="preserve">provide additional headroom </w:t>
      </w:r>
      <w:r>
        <w:t>depend</w:t>
      </w:r>
      <w:r w:rsidR="00E40C82">
        <w:t>ant</w:t>
      </w:r>
      <w:r>
        <w:t xml:space="preserve"> on </w:t>
      </w:r>
      <w:r w:rsidR="00FF172B">
        <w:t xml:space="preserve">the </w:t>
      </w:r>
      <w:r w:rsidR="00E40C82">
        <w:t xml:space="preserve">Council’s </w:t>
      </w:r>
      <w:r w:rsidR="00FF172B">
        <w:t xml:space="preserve">expenditure </w:t>
      </w:r>
      <w:r>
        <w:t>profile.</w:t>
      </w:r>
      <w:r w:rsidR="00095C0C">
        <w:t xml:space="preserve">  </w:t>
      </w:r>
      <w:r w:rsidR="00557C24">
        <w:t>However, a</w:t>
      </w:r>
      <w:r w:rsidR="00095C0C">
        <w:t>s highlighted earlier</w:t>
      </w:r>
      <w:r w:rsidR="00557C24">
        <w:t>;</w:t>
      </w:r>
      <w:r w:rsidR="00095C0C">
        <w:t xml:space="preserve"> borrowing </w:t>
      </w:r>
      <w:r w:rsidR="00557C24">
        <w:t xml:space="preserve">rates </w:t>
      </w:r>
      <w:r w:rsidR="00095C0C">
        <w:t>are at historically low levels</w:t>
      </w:r>
      <w:r w:rsidR="00E40C82">
        <w:t xml:space="preserve"> so </w:t>
      </w:r>
      <w:r w:rsidR="002F634F">
        <w:t>officers are monitoring</w:t>
      </w:r>
      <w:r w:rsidR="00E40C82">
        <w:t xml:space="preserve"> the situation</w:t>
      </w:r>
      <w:r w:rsidR="00557C24">
        <w:t xml:space="preserve"> </w:t>
      </w:r>
      <w:r w:rsidR="00E40C82">
        <w:t>carefully.</w:t>
      </w:r>
    </w:p>
    <w:p w:rsidR="006C13C3" w:rsidRDefault="006C13C3" w:rsidP="006C13C3">
      <w:pPr>
        <w:pStyle w:val="Default"/>
        <w:ind w:left="1800"/>
      </w:pPr>
    </w:p>
    <w:p w:rsidR="00115A64" w:rsidRPr="00B63B1C" w:rsidRDefault="00B63B1C" w:rsidP="003F7EDF">
      <w:pPr>
        <w:pStyle w:val="ListParagraph"/>
        <w:numPr>
          <w:ilvl w:val="0"/>
          <w:numId w:val="8"/>
        </w:numPr>
        <w:ind w:left="426" w:hanging="426"/>
        <w:rPr>
          <w:b/>
        </w:rPr>
      </w:pPr>
      <w:r w:rsidRPr="00B63B1C">
        <w:rPr>
          <w:b/>
        </w:rPr>
        <w:t>Britain’s</w:t>
      </w:r>
      <w:r w:rsidR="0096290D" w:rsidRPr="00B63B1C">
        <w:rPr>
          <w:b/>
        </w:rPr>
        <w:t xml:space="preserve"> Contribution to the EU</w:t>
      </w:r>
    </w:p>
    <w:p w:rsidR="006C13C3" w:rsidRPr="005E12AD" w:rsidRDefault="006C13C3" w:rsidP="0077345C">
      <w:pPr>
        <w:ind w:left="426"/>
      </w:pPr>
      <w:r w:rsidRPr="005E12AD">
        <w:t xml:space="preserve">From 2010 to 2015, the UK’s average annual gross contribution to the EU amounted to around £16.8 billion. However the UK also receives a rebate and funding from various EU initiatives. This means that the UK’s average annual net contribution to the EU budget over these same years is estimated to be around £8.8 billion, or around 0.5% of </w:t>
      </w:r>
      <w:r w:rsidR="00B63B1C" w:rsidRPr="005E12AD">
        <w:t xml:space="preserve">GDP. </w:t>
      </w:r>
    </w:p>
    <w:p w:rsidR="00A4777C" w:rsidRPr="00EB1FEC" w:rsidRDefault="00A4777C" w:rsidP="004D4926">
      <w:pPr>
        <w:ind w:left="360"/>
      </w:pPr>
    </w:p>
    <w:p w:rsidR="00F0192C" w:rsidRPr="00EB1FEC" w:rsidRDefault="002C15F1" w:rsidP="004D4926">
      <w:pPr>
        <w:ind w:left="360"/>
      </w:pPr>
      <w:r w:rsidRPr="005E12AD">
        <w:t>A</w:t>
      </w:r>
      <w:r w:rsidR="006C13C3" w:rsidRPr="005E12AD">
        <w:t>lthough in the near term budgetary contributions to the EU must still be made, and funding flows into the UK will continue, the</w:t>
      </w:r>
      <w:r w:rsidRPr="005E12AD">
        <w:t xml:space="preserve"> </w:t>
      </w:r>
      <w:r w:rsidR="006C13C3" w:rsidRPr="005E12AD">
        <w:t xml:space="preserve">longer </w:t>
      </w:r>
      <w:r w:rsidRPr="005E12AD">
        <w:t xml:space="preserve">term position is uncertain </w:t>
      </w:r>
      <w:r w:rsidR="00EB1FEC">
        <w:t xml:space="preserve">and is dependent on the exit negotiations between the UK and the EU. In addition </w:t>
      </w:r>
      <w:r w:rsidR="004A115F" w:rsidRPr="00EB1FEC">
        <w:t xml:space="preserve">it remains to be seen </w:t>
      </w:r>
      <w:r w:rsidR="00A4777C" w:rsidRPr="00EB1FEC">
        <w:t xml:space="preserve">whether </w:t>
      </w:r>
      <w:r w:rsidR="004D5DD8" w:rsidRPr="00EB1FEC">
        <w:t xml:space="preserve">the </w:t>
      </w:r>
      <w:r w:rsidR="00866D65" w:rsidRPr="00EB1FEC">
        <w:t xml:space="preserve">new </w:t>
      </w:r>
      <w:r w:rsidR="004D5DD8" w:rsidRPr="00EB1FEC">
        <w:t xml:space="preserve">UK Government </w:t>
      </w:r>
      <w:r w:rsidR="00A4777C" w:rsidRPr="00EB1FEC">
        <w:t>w</w:t>
      </w:r>
      <w:r w:rsidR="000A1CF9" w:rsidRPr="00EB1FEC">
        <w:t>ill</w:t>
      </w:r>
      <w:r w:rsidR="00A4777C" w:rsidRPr="00EB1FEC">
        <w:t xml:space="preserve"> </w:t>
      </w:r>
      <w:r w:rsidR="004A115F" w:rsidRPr="00EB1FEC">
        <w:t xml:space="preserve">redirect the </w:t>
      </w:r>
      <w:r w:rsidR="004D5DD8" w:rsidRPr="00EB1FEC">
        <w:t xml:space="preserve">money it </w:t>
      </w:r>
      <w:r w:rsidR="00EB1FEC">
        <w:t>may</w:t>
      </w:r>
      <w:r w:rsidR="00EB1FEC" w:rsidRPr="00EB1FEC">
        <w:t xml:space="preserve"> </w:t>
      </w:r>
      <w:r w:rsidR="004D5DD8" w:rsidRPr="00EB1FEC">
        <w:t xml:space="preserve">save from leaving the EU to </w:t>
      </w:r>
      <w:r w:rsidR="004A115F" w:rsidRPr="00EB1FEC">
        <w:t>similar areas</w:t>
      </w:r>
      <w:r w:rsidR="00EB1FEC">
        <w:t xml:space="preserve"> as those benefiting from European funding,</w:t>
      </w:r>
      <w:r w:rsidR="004A115F" w:rsidRPr="00EB1FEC">
        <w:t xml:space="preserve"> including </w:t>
      </w:r>
      <w:r w:rsidR="004D5DD8" w:rsidRPr="00EB1FEC">
        <w:t>local government</w:t>
      </w:r>
      <w:r w:rsidR="00A4777C" w:rsidRPr="00EB1FEC">
        <w:t>.</w:t>
      </w:r>
      <w:r w:rsidR="004D5DD8" w:rsidRPr="00EB1FEC">
        <w:t xml:space="preserve"> </w:t>
      </w:r>
      <w:r w:rsidR="00966207">
        <w:t xml:space="preserve">Should savings not materialise, indeed recent reports would seem to indicate a payment to exit the EU, then this could impact on the amount of funding available which no doubt the Government would seek to claw back from local government perhaps by changes to the New Homes Bonus allocations </w:t>
      </w:r>
      <w:r w:rsidR="004269F4">
        <w:t>or Business Rates income.</w:t>
      </w:r>
    </w:p>
    <w:p w:rsidR="00F0192C" w:rsidRPr="005E12AD" w:rsidRDefault="00F0192C" w:rsidP="004D4926">
      <w:pPr>
        <w:ind w:left="360"/>
      </w:pPr>
    </w:p>
    <w:p w:rsidR="00243DEF" w:rsidRPr="00095C0C" w:rsidRDefault="00243DEF" w:rsidP="000A1CF9">
      <w:pPr>
        <w:pStyle w:val="ListParagraph"/>
        <w:numPr>
          <w:ilvl w:val="0"/>
          <w:numId w:val="8"/>
        </w:numPr>
        <w:shd w:val="clear" w:color="auto" w:fill="FFFFFF"/>
        <w:ind w:left="426" w:hanging="426"/>
        <w:outlineLvl w:val="1"/>
        <w:rPr>
          <w:rFonts w:eastAsia="Times New Roman"/>
          <w:b/>
          <w:lang w:eastAsia="en-GB"/>
        </w:rPr>
      </w:pPr>
      <w:r w:rsidRPr="00095C0C">
        <w:rPr>
          <w:rFonts w:eastAsia="Times New Roman"/>
          <w:b/>
          <w:lang w:eastAsia="en-GB"/>
        </w:rPr>
        <w:t>Pound versus Euro</w:t>
      </w:r>
    </w:p>
    <w:p w:rsidR="00243DEF" w:rsidRPr="004D0124" w:rsidRDefault="00243DEF" w:rsidP="000A1CF9">
      <w:pPr>
        <w:shd w:val="clear" w:color="auto" w:fill="FFFFFF"/>
        <w:ind w:left="426"/>
        <w:rPr>
          <w:rFonts w:eastAsia="Times New Roman"/>
          <w:lang w:eastAsia="en-GB"/>
        </w:rPr>
      </w:pPr>
      <w:r w:rsidRPr="00095C0C">
        <w:rPr>
          <w:rFonts w:eastAsia="Times New Roman"/>
          <w:lang w:eastAsia="en-GB"/>
        </w:rPr>
        <w:t xml:space="preserve">The pound </w:t>
      </w:r>
      <w:r w:rsidR="00E645E1">
        <w:rPr>
          <w:rFonts w:eastAsia="Times New Roman"/>
          <w:lang w:eastAsia="en-GB"/>
        </w:rPr>
        <w:t xml:space="preserve">has fallen consistently </w:t>
      </w:r>
      <w:r w:rsidRPr="00095C0C">
        <w:rPr>
          <w:rFonts w:eastAsia="Times New Roman"/>
          <w:lang w:eastAsia="en-GB"/>
        </w:rPr>
        <w:t>against the euro since the Brexit vote to a low of 1.1</w:t>
      </w:r>
      <w:r w:rsidR="00E645E1">
        <w:rPr>
          <w:rFonts w:eastAsia="Times New Roman"/>
          <w:lang w:eastAsia="en-GB"/>
        </w:rPr>
        <w:t>0</w:t>
      </w:r>
      <w:r w:rsidRPr="00095C0C">
        <w:rPr>
          <w:rFonts w:eastAsia="Times New Roman"/>
          <w:lang w:eastAsia="en-GB"/>
        </w:rPr>
        <w:t xml:space="preserve"> euros </w:t>
      </w:r>
      <w:r w:rsidR="00E645E1">
        <w:rPr>
          <w:rFonts w:eastAsia="Times New Roman"/>
          <w:lang w:eastAsia="en-GB"/>
        </w:rPr>
        <w:t xml:space="preserve">in October 2016 to 1.15 euros on the 9 March 2017.  This compares </w:t>
      </w:r>
      <w:r w:rsidRPr="00095C0C">
        <w:rPr>
          <w:rFonts w:eastAsia="Times New Roman"/>
          <w:lang w:eastAsia="en-GB"/>
        </w:rPr>
        <w:t>to a 52 week high of 1.44 euros and a level of 1.3 euros before the Brexit vote.</w:t>
      </w:r>
      <w:r>
        <w:rPr>
          <w:rFonts w:eastAsia="Times New Roman"/>
          <w:lang w:eastAsia="en-GB"/>
        </w:rPr>
        <w:t xml:space="preserve">  </w:t>
      </w:r>
      <w:r w:rsidR="00695B2B">
        <w:rPr>
          <w:rFonts w:eastAsia="Times New Roman"/>
          <w:lang w:eastAsia="en-GB"/>
        </w:rPr>
        <w:t xml:space="preserve">Whilst the fall in the pound has helped exporters it has made foreign holidays </w:t>
      </w:r>
      <w:r w:rsidR="00E753CD">
        <w:rPr>
          <w:rFonts w:eastAsia="Times New Roman"/>
          <w:lang w:eastAsia="en-GB"/>
        </w:rPr>
        <w:t>more expensive for British tourists.</w:t>
      </w:r>
      <w:r>
        <w:rPr>
          <w:rFonts w:eastAsia="Times New Roman"/>
          <w:lang w:eastAsia="en-GB"/>
        </w:rPr>
        <w:t xml:space="preserve"> </w:t>
      </w:r>
    </w:p>
    <w:p w:rsidR="00243DEF" w:rsidRPr="007952F3" w:rsidRDefault="00E645E1" w:rsidP="00243DEF">
      <w:pPr>
        <w:shd w:val="clear" w:color="auto" w:fill="FFFFFF"/>
        <w:spacing w:before="240" w:after="100" w:afterAutospacing="1"/>
        <w:rPr>
          <w:rFonts w:eastAsia="Times New Roman"/>
          <w:lang w:eastAsia="en-GB"/>
        </w:rPr>
      </w:pPr>
      <w:r>
        <w:rPr>
          <w:noProof/>
          <w:lang w:eastAsia="en-GB"/>
        </w:rPr>
        <w:drawing>
          <wp:inline distT="0" distB="0" distL="0" distR="0" wp14:anchorId="5D083760" wp14:editId="1F414EB8">
            <wp:extent cx="5726698" cy="2124075"/>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2125860"/>
                    </a:xfrm>
                    <a:prstGeom prst="rect">
                      <a:avLst/>
                    </a:prstGeom>
                  </pic:spPr>
                </pic:pic>
              </a:graphicData>
            </a:graphic>
          </wp:inline>
        </w:drawing>
      </w:r>
    </w:p>
    <w:p w:rsidR="00243DEF" w:rsidRPr="004D0124" w:rsidRDefault="00243DEF" w:rsidP="00F4140E">
      <w:pPr>
        <w:shd w:val="clear" w:color="auto" w:fill="FFFFFF"/>
        <w:spacing w:before="240"/>
      </w:pPr>
    </w:p>
    <w:p w:rsidR="0096290D" w:rsidRPr="00B63B1C" w:rsidRDefault="0096290D" w:rsidP="000A1CF9">
      <w:pPr>
        <w:pStyle w:val="ListParagraph"/>
        <w:numPr>
          <w:ilvl w:val="0"/>
          <w:numId w:val="8"/>
        </w:numPr>
        <w:ind w:left="426" w:hanging="426"/>
        <w:rPr>
          <w:b/>
        </w:rPr>
      </w:pPr>
      <w:r w:rsidRPr="00B63B1C">
        <w:rPr>
          <w:b/>
        </w:rPr>
        <w:t>EU Funding</w:t>
      </w:r>
    </w:p>
    <w:p w:rsidR="008F6702" w:rsidRPr="00F578FA" w:rsidRDefault="008F6702" w:rsidP="00CE661D">
      <w:pPr>
        <w:pStyle w:val="ListParagraph"/>
        <w:numPr>
          <w:ilvl w:val="0"/>
          <w:numId w:val="13"/>
        </w:numPr>
        <w:ind w:left="709" w:hanging="283"/>
      </w:pPr>
      <w:r w:rsidRPr="00F578FA">
        <w:t xml:space="preserve">The City Council has </w:t>
      </w:r>
      <w:r w:rsidR="00B63B1C" w:rsidRPr="00F578FA">
        <w:t>actively</w:t>
      </w:r>
      <w:r w:rsidRPr="00F578FA">
        <w:t xml:space="preserve"> </w:t>
      </w:r>
      <w:r w:rsidR="00B63B1C" w:rsidRPr="00F578FA">
        <w:t>pursued</w:t>
      </w:r>
      <w:r w:rsidRPr="00F578FA">
        <w:t xml:space="preserve"> European Funding </w:t>
      </w:r>
      <w:r w:rsidR="00457F89">
        <w:t>for relevant projects</w:t>
      </w:r>
      <w:r w:rsidRPr="00F578FA">
        <w:t xml:space="preserve"> in </w:t>
      </w:r>
      <w:r w:rsidR="00F578FA" w:rsidRPr="00F578FA">
        <w:t xml:space="preserve">recent </w:t>
      </w:r>
      <w:r w:rsidR="00DC651B" w:rsidRPr="00F578FA">
        <w:t xml:space="preserve">years. </w:t>
      </w:r>
      <w:r w:rsidR="00B63B1C" w:rsidRPr="00F578FA">
        <w:t>Additionally</w:t>
      </w:r>
      <w:r w:rsidR="009E63F5">
        <w:t>,</w:t>
      </w:r>
      <w:r w:rsidRPr="00F578FA">
        <w:t xml:space="preserve"> the Local Enterprise </w:t>
      </w:r>
      <w:r w:rsidR="00B63B1C" w:rsidRPr="00F578FA">
        <w:t>Partnership</w:t>
      </w:r>
      <w:r w:rsidRPr="00F578FA">
        <w:t xml:space="preserve"> (LEP) has secured funding from the European Structural Investment Funds (ESIF) </w:t>
      </w:r>
      <w:r w:rsidR="00F0192C">
        <w:t>(</w:t>
      </w:r>
      <w:r w:rsidRPr="00F578FA">
        <w:t>c£20million</w:t>
      </w:r>
      <w:r w:rsidR="00F0192C">
        <w:t>)</w:t>
      </w:r>
      <w:r w:rsidRPr="00F578FA">
        <w:t>. The proposals can be most easily understood as being organised around two headline programmes:</w:t>
      </w:r>
    </w:p>
    <w:p w:rsidR="008F6702" w:rsidRPr="00F578FA" w:rsidRDefault="008F6702" w:rsidP="000A1CF9">
      <w:pPr>
        <w:ind w:left="426" w:firstLine="720"/>
      </w:pPr>
      <w:r w:rsidRPr="00F578FA">
        <w:t>£14.77m (+ match) Business Support Programme</w:t>
      </w:r>
    </w:p>
    <w:p w:rsidR="008F6702" w:rsidRDefault="008F6702" w:rsidP="000A1CF9">
      <w:pPr>
        <w:ind w:left="426" w:firstLine="720"/>
      </w:pPr>
      <w:r w:rsidRPr="00F578FA">
        <w:t>£4.73million Labour Market and Community Development Programme</w:t>
      </w:r>
    </w:p>
    <w:p w:rsidR="002B638D" w:rsidRDefault="002B638D" w:rsidP="000A1CF9">
      <w:pPr>
        <w:ind w:left="426" w:firstLine="720"/>
      </w:pPr>
    </w:p>
    <w:p w:rsidR="002B638D" w:rsidRPr="002B638D" w:rsidRDefault="002B638D" w:rsidP="002B638D">
      <w:pPr>
        <w:pStyle w:val="ListParagraph"/>
        <w:numPr>
          <w:ilvl w:val="0"/>
          <w:numId w:val="13"/>
        </w:numPr>
        <w:ind w:left="709" w:hanging="283"/>
        <w:rPr>
          <w:color w:val="000000"/>
        </w:rPr>
      </w:pPr>
      <w:r w:rsidRPr="002B638D">
        <w:rPr>
          <w:color w:val="000000"/>
        </w:rPr>
        <w:t xml:space="preserve">In December </w:t>
      </w:r>
      <w:r w:rsidRPr="002B638D">
        <w:rPr>
          <w:color w:val="000000"/>
        </w:rPr>
        <w:t xml:space="preserve">2016 </w:t>
      </w:r>
      <w:r w:rsidRPr="002B638D">
        <w:rPr>
          <w:color w:val="000000"/>
        </w:rPr>
        <w:t>the city council were awarded a contract by the Big Lottery Fund to manage a programme of employment support and training for unemployed young people in Oxfordshire.</w:t>
      </w:r>
      <w:r w:rsidRPr="002B638D">
        <w:rPr>
          <w:color w:val="000000"/>
        </w:rPr>
        <w:t xml:space="preserve"> </w:t>
      </w:r>
      <w:r w:rsidRPr="002B638D">
        <w:rPr>
          <w:color w:val="000000"/>
        </w:rPr>
        <w:t>“Unlocking Potential for Oxfordshire” is a new project that will receive up to £734,000 over the next three years as part of the Building Better Opportunities (BBO) programme, jointly funded by the Big Lottery Fund and the European Social Fund (ESF).</w:t>
      </w:r>
    </w:p>
    <w:p w:rsidR="002B638D" w:rsidRDefault="002B638D" w:rsidP="002B638D">
      <w:pPr>
        <w:rPr>
          <w:color w:val="000000"/>
        </w:rPr>
      </w:pPr>
    </w:p>
    <w:p w:rsidR="002B638D" w:rsidRPr="002B638D" w:rsidRDefault="002B638D" w:rsidP="002B638D">
      <w:pPr>
        <w:pStyle w:val="ListParagraph"/>
        <w:numPr>
          <w:ilvl w:val="0"/>
          <w:numId w:val="13"/>
        </w:numPr>
        <w:ind w:left="709" w:hanging="283"/>
        <w:rPr>
          <w:b/>
          <w:bCs/>
          <w:color w:val="000000"/>
        </w:rPr>
      </w:pPr>
      <w:proofErr w:type="spellStart"/>
      <w:r w:rsidRPr="002B638D">
        <w:rPr>
          <w:b/>
          <w:bCs/>
          <w:color w:val="000000"/>
        </w:rPr>
        <w:t>OxLEP’s</w:t>
      </w:r>
      <w:proofErr w:type="spellEnd"/>
      <w:r w:rsidRPr="002B638D">
        <w:rPr>
          <w:b/>
          <w:bCs/>
          <w:color w:val="000000"/>
        </w:rPr>
        <w:t xml:space="preserve"> Community Grants Programme</w:t>
      </w:r>
    </w:p>
    <w:p w:rsidR="002B638D" w:rsidRDefault="002B638D" w:rsidP="002B638D">
      <w:pPr>
        <w:ind w:left="426"/>
        <w:rPr>
          <w:color w:val="000000"/>
        </w:rPr>
      </w:pPr>
      <w:r>
        <w:rPr>
          <w:color w:val="000000"/>
        </w:rPr>
        <w:t>In May 2016, the Council were awarded a contract by the Skills Funding Agency to deliver the Oxfordshire LEP’s Community Grants Programme. The aim of the project is to make small grants to charities and other organisations that help disadvantaged and unemployed people into work or training. The ESF Community Grants programme is running from October 2016 until June 2018.</w:t>
      </w:r>
    </w:p>
    <w:p w:rsidR="002B638D" w:rsidRDefault="002B638D" w:rsidP="002B638D">
      <w:pPr>
        <w:ind w:left="426"/>
        <w:rPr>
          <w:color w:val="000000"/>
        </w:rPr>
      </w:pPr>
      <w:r>
        <w:rPr>
          <w:color w:val="000000"/>
        </w:rPr>
        <w:t>Individual charities and support organisations can apply for grants of between £5,000 and £50,000 at a time. Grant funding of £390,000 is available over the lifetime of the project, with £37,000 available for the administration of the project.</w:t>
      </w:r>
    </w:p>
    <w:p w:rsidR="002B638D" w:rsidRDefault="002B638D" w:rsidP="002B638D">
      <w:pPr>
        <w:ind w:left="426"/>
        <w:rPr>
          <w:color w:val="000000"/>
        </w:rPr>
      </w:pPr>
    </w:p>
    <w:p w:rsidR="008F6702" w:rsidRPr="000D0210" w:rsidRDefault="008F6702" w:rsidP="000A1CF9">
      <w:pPr>
        <w:pStyle w:val="ListParagraph"/>
        <w:numPr>
          <w:ilvl w:val="0"/>
          <w:numId w:val="9"/>
        </w:numPr>
        <w:ind w:left="709" w:hanging="283"/>
      </w:pPr>
      <w:proofErr w:type="spellStart"/>
      <w:r w:rsidRPr="000D0210">
        <w:rPr>
          <w:b/>
        </w:rPr>
        <w:t>Oxfutures</w:t>
      </w:r>
      <w:proofErr w:type="spellEnd"/>
      <w:r w:rsidRPr="000D0210">
        <w:rPr>
          <w:b/>
        </w:rPr>
        <w:t xml:space="preserve"> Programme</w:t>
      </w:r>
      <w:r w:rsidRPr="000D0210">
        <w:t xml:space="preserve"> run by the Low Carbon Hub on behalf of the City Council and County Council</w:t>
      </w:r>
      <w:r w:rsidR="00AC722C" w:rsidRPr="000D0210">
        <w:t xml:space="preserve"> </w:t>
      </w:r>
      <w:proofErr w:type="gramStart"/>
      <w:r w:rsidR="00AC722C" w:rsidRPr="000D0210">
        <w:t xml:space="preserve">- </w:t>
      </w:r>
      <w:r w:rsidRPr="000D0210">
        <w:t xml:space="preserve"> </w:t>
      </w:r>
      <w:r w:rsidR="00AC722C" w:rsidRPr="000D0210">
        <w:t>T</w:t>
      </w:r>
      <w:r w:rsidRPr="000D0210">
        <w:t>he</w:t>
      </w:r>
      <w:proofErr w:type="gramEnd"/>
      <w:r w:rsidRPr="000D0210">
        <w:t xml:space="preserve"> </w:t>
      </w:r>
      <w:r w:rsidR="00B63B1C" w:rsidRPr="000D0210">
        <w:t>partnership</w:t>
      </w:r>
      <w:r w:rsidRPr="000D0210">
        <w:t xml:space="preserve"> </w:t>
      </w:r>
      <w:r w:rsidR="00B63B1C" w:rsidRPr="000D0210">
        <w:t>received</w:t>
      </w:r>
      <w:r w:rsidRPr="000D0210">
        <w:t xml:space="preserve"> </w:t>
      </w:r>
      <w:r w:rsidR="00F578FA" w:rsidRPr="000D0210">
        <w:t>£1.2 million of</w:t>
      </w:r>
      <w:r w:rsidRPr="000D0210">
        <w:t xml:space="preserve"> EU grant </w:t>
      </w:r>
      <w:r w:rsidR="00AE1169" w:rsidRPr="000D0210">
        <w:t xml:space="preserve">on the basis that it </w:t>
      </w:r>
      <w:r w:rsidR="00B63B1C" w:rsidRPr="000D0210">
        <w:t>leverage</w:t>
      </w:r>
      <w:r w:rsidR="00AE1169" w:rsidRPr="000D0210">
        <w:t>d</w:t>
      </w:r>
      <w:r w:rsidRPr="000D0210">
        <w:t xml:space="preserve"> 15 times this amount</w:t>
      </w:r>
      <w:r w:rsidR="00AE1169" w:rsidRPr="000D0210">
        <w:t xml:space="preserve"> in schemes with local businesses</w:t>
      </w:r>
      <w:r w:rsidRPr="000D0210">
        <w:t xml:space="preserve">. </w:t>
      </w:r>
      <w:r w:rsidR="00B63B1C" w:rsidRPr="000D0210">
        <w:t>Th</w:t>
      </w:r>
      <w:r w:rsidR="00C71ABA" w:rsidRPr="000D0210">
        <w:t xml:space="preserve">e target, is 23 million euros or £19.658 </w:t>
      </w:r>
      <w:r w:rsidR="00DC651B" w:rsidRPr="000D0210">
        <w:t>million,</w:t>
      </w:r>
      <w:r w:rsidR="00C71ABA" w:rsidRPr="000D0210">
        <w:t xml:space="preserve"> an increase £1.8 million since the BREXIT decision on 23</w:t>
      </w:r>
      <w:r w:rsidR="00C71ABA" w:rsidRPr="000D0210">
        <w:rPr>
          <w:vertAlign w:val="superscript"/>
        </w:rPr>
        <w:t>rd</w:t>
      </w:r>
      <w:r w:rsidR="00C71ABA" w:rsidRPr="000D0210">
        <w:t xml:space="preserve"> June </w:t>
      </w:r>
      <w:r w:rsidR="00AE1169" w:rsidRPr="000D0210">
        <w:t>and the fall in the exchange rate.</w:t>
      </w:r>
      <w:r w:rsidR="00C71ABA" w:rsidRPr="000D0210">
        <w:t xml:space="preserve"> In the event that the target is not achieved a proportion </w:t>
      </w:r>
      <w:r w:rsidR="000D0210" w:rsidRPr="000D0210">
        <w:t>of grant is repayable to the EU, this may be around £170k in a worst case scenario and a decision from the EU is awaited.</w:t>
      </w:r>
      <w:r w:rsidR="00CE661D" w:rsidRPr="000D0210">
        <w:t xml:space="preserve"> </w:t>
      </w:r>
    </w:p>
    <w:p w:rsidR="00F578FA" w:rsidRPr="00CD18DA" w:rsidRDefault="00F578FA" w:rsidP="000A1CF9">
      <w:pPr>
        <w:ind w:left="709" w:hanging="283"/>
      </w:pPr>
    </w:p>
    <w:p w:rsidR="00F578FA" w:rsidRPr="00CD18DA" w:rsidRDefault="00F578FA" w:rsidP="000A1CF9">
      <w:pPr>
        <w:ind w:left="709" w:hanging="283"/>
      </w:pPr>
      <w:r w:rsidRPr="00CD18DA">
        <w:t xml:space="preserve">Going forward access to EU funds may </w:t>
      </w:r>
      <w:r w:rsidR="003F7EDF">
        <w:t>not be possible.</w:t>
      </w:r>
      <w:r w:rsidRPr="00CD18DA">
        <w:t xml:space="preserve"> </w:t>
      </w:r>
    </w:p>
    <w:p w:rsidR="00F578FA" w:rsidRDefault="00F578FA" w:rsidP="00F578FA">
      <w:pPr>
        <w:pStyle w:val="ListParagraph"/>
        <w:ind w:left="1004"/>
      </w:pPr>
    </w:p>
    <w:p w:rsidR="004D4926" w:rsidRPr="00B63B1C" w:rsidRDefault="004D4926" w:rsidP="000A1CF9">
      <w:pPr>
        <w:pStyle w:val="ListParagraph"/>
        <w:numPr>
          <w:ilvl w:val="0"/>
          <w:numId w:val="8"/>
        </w:numPr>
        <w:ind w:left="426" w:hanging="426"/>
        <w:rPr>
          <w:b/>
        </w:rPr>
      </w:pPr>
      <w:r w:rsidRPr="00B63B1C">
        <w:rPr>
          <w:b/>
        </w:rPr>
        <w:t>EU Obligations</w:t>
      </w:r>
    </w:p>
    <w:p w:rsidR="005F17BF" w:rsidRDefault="004D4926" w:rsidP="000A1CF9">
      <w:pPr>
        <w:ind w:left="426"/>
      </w:pPr>
      <w:r>
        <w:t>T</w:t>
      </w:r>
      <w:r w:rsidR="004D5DD8" w:rsidRPr="004D0124">
        <w:t>here are a range of EU obligations affecting local authorities. Procurement, local economic development</w:t>
      </w:r>
      <w:r>
        <w:t xml:space="preserve">, waste </w:t>
      </w:r>
      <w:r w:rsidR="004D5DD8" w:rsidRPr="004D0124">
        <w:t xml:space="preserve">and employment are all determined by EU regulations. </w:t>
      </w:r>
      <w:r w:rsidR="00BB349F">
        <w:t xml:space="preserve">It is probable that some of these regulations </w:t>
      </w:r>
      <w:r w:rsidR="00B63B1C">
        <w:t>w</w:t>
      </w:r>
      <w:r w:rsidR="009A5748">
        <w:t>ill remain enshrined within UK law, others may be repealed or overturned</w:t>
      </w:r>
      <w:r w:rsidR="00457F89">
        <w:t xml:space="preserve"> in the fullness of time</w:t>
      </w:r>
      <w:r w:rsidR="00BB349F">
        <w:t xml:space="preserve">. </w:t>
      </w:r>
    </w:p>
    <w:p w:rsidR="005F17BF" w:rsidRDefault="005F17BF" w:rsidP="000A1CF9">
      <w:pPr>
        <w:ind w:left="426"/>
      </w:pPr>
    </w:p>
    <w:p w:rsidR="004D4926" w:rsidRPr="00B63B1C" w:rsidRDefault="004D4926" w:rsidP="009A5748">
      <w:pPr>
        <w:pStyle w:val="ListParagraph"/>
        <w:numPr>
          <w:ilvl w:val="0"/>
          <w:numId w:val="8"/>
        </w:numPr>
        <w:ind w:left="426" w:hanging="426"/>
        <w:rPr>
          <w:b/>
        </w:rPr>
      </w:pPr>
      <w:r w:rsidRPr="00B63B1C">
        <w:rPr>
          <w:b/>
        </w:rPr>
        <w:t>State Aid Rules</w:t>
      </w:r>
    </w:p>
    <w:p w:rsidR="00380E5B" w:rsidRDefault="00816C9F" w:rsidP="009A5748">
      <w:pPr>
        <w:ind w:left="426"/>
        <w:rPr>
          <w:lang w:val="en-US"/>
        </w:rPr>
      </w:pPr>
      <w:r>
        <w:rPr>
          <w:lang w:val="en-US"/>
        </w:rPr>
        <w:t>Potentially</w:t>
      </w:r>
      <w:r w:rsidR="00380E5B" w:rsidRPr="004D0124">
        <w:rPr>
          <w:lang w:val="en-US"/>
        </w:rPr>
        <w:t xml:space="preserve"> some EU state aid rules </w:t>
      </w:r>
      <w:r w:rsidR="00F10AFE">
        <w:rPr>
          <w:lang w:val="en-US"/>
        </w:rPr>
        <w:t>would be relaxed</w:t>
      </w:r>
      <w:r w:rsidR="00380E5B" w:rsidRPr="004D0124">
        <w:rPr>
          <w:lang w:val="en-US"/>
        </w:rPr>
        <w:t xml:space="preserve">, which could mean it is easier in some circumstances to support </w:t>
      </w:r>
      <w:r w:rsidR="00F10AFE">
        <w:rPr>
          <w:lang w:val="en-US"/>
        </w:rPr>
        <w:t xml:space="preserve">companies </w:t>
      </w:r>
      <w:r w:rsidR="00380E5B" w:rsidRPr="004D0124">
        <w:rPr>
          <w:lang w:val="en-US"/>
        </w:rPr>
        <w:t xml:space="preserve">with public funding when warranted, although we would still have to comply with restrictions </w:t>
      </w:r>
      <w:r w:rsidR="00EB1FEC">
        <w:rPr>
          <w:lang w:val="en-US"/>
        </w:rPr>
        <w:t xml:space="preserve">that may be </w:t>
      </w:r>
      <w:r w:rsidR="00380E5B" w:rsidRPr="004D0124">
        <w:rPr>
          <w:lang w:val="en-US"/>
        </w:rPr>
        <w:t xml:space="preserve">imposed as part of </w:t>
      </w:r>
      <w:r w:rsidR="00EB1FEC">
        <w:rPr>
          <w:lang w:val="en-US"/>
        </w:rPr>
        <w:t xml:space="preserve">a negotiated </w:t>
      </w:r>
      <w:r w:rsidR="00380E5B" w:rsidRPr="004D0124">
        <w:rPr>
          <w:lang w:val="en-US"/>
        </w:rPr>
        <w:t>E</w:t>
      </w:r>
      <w:r w:rsidR="004D4926">
        <w:rPr>
          <w:lang w:val="en-US"/>
        </w:rPr>
        <w:t xml:space="preserve">uropean </w:t>
      </w:r>
      <w:r w:rsidR="00380E5B" w:rsidRPr="004D0124">
        <w:rPr>
          <w:lang w:val="en-US"/>
        </w:rPr>
        <w:t>F</w:t>
      </w:r>
      <w:r w:rsidR="004D4926">
        <w:rPr>
          <w:lang w:val="en-US"/>
        </w:rPr>
        <w:t xml:space="preserve">ree </w:t>
      </w:r>
      <w:r w:rsidR="00380E5B" w:rsidRPr="004D0124">
        <w:rPr>
          <w:lang w:val="en-US"/>
        </w:rPr>
        <w:t>T</w:t>
      </w:r>
      <w:r w:rsidR="004D4926">
        <w:rPr>
          <w:lang w:val="en-US"/>
        </w:rPr>
        <w:t xml:space="preserve">rade </w:t>
      </w:r>
      <w:r w:rsidR="00380E5B" w:rsidRPr="004D0124">
        <w:rPr>
          <w:lang w:val="en-US"/>
        </w:rPr>
        <w:t>A</w:t>
      </w:r>
      <w:r w:rsidR="004D4926">
        <w:rPr>
          <w:lang w:val="en-US"/>
        </w:rPr>
        <w:t>greement</w:t>
      </w:r>
      <w:r w:rsidR="00380E5B" w:rsidRPr="004D0124">
        <w:rPr>
          <w:lang w:val="en-US"/>
        </w:rPr>
        <w:t>.</w:t>
      </w:r>
      <w:r w:rsidR="00455959">
        <w:rPr>
          <w:lang w:val="en-US"/>
        </w:rPr>
        <w:t xml:space="preserve"> The Council has applied state aid rules in the calculation of interest charged on loans made to the recently established Housing Company and similar calculations will be applied to loans to the Councils Local Authority Trading Company</w:t>
      </w:r>
    </w:p>
    <w:p w:rsidR="00455959" w:rsidRDefault="00455959" w:rsidP="009A5748">
      <w:pPr>
        <w:ind w:left="426"/>
      </w:pPr>
    </w:p>
    <w:p w:rsidR="00621396" w:rsidRPr="004D0124" w:rsidRDefault="00621396" w:rsidP="009A5748">
      <w:pPr>
        <w:ind w:left="426"/>
      </w:pPr>
    </w:p>
    <w:p w:rsidR="00BB349F" w:rsidRPr="00B63B1C" w:rsidRDefault="00B63B1C" w:rsidP="005F17BF">
      <w:pPr>
        <w:pStyle w:val="ListParagraph"/>
        <w:numPr>
          <w:ilvl w:val="0"/>
          <w:numId w:val="8"/>
        </w:numPr>
        <w:shd w:val="clear" w:color="auto" w:fill="FFFFFF"/>
        <w:ind w:left="426" w:hanging="426"/>
        <w:outlineLvl w:val="2"/>
        <w:rPr>
          <w:rFonts w:eastAsia="Times New Roman"/>
          <w:b/>
          <w:lang w:val="en-US" w:eastAsia="en-GB"/>
        </w:rPr>
      </w:pPr>
      <w:r>
        <w:rPr>
          <w:rFonts w:eastAsia="Times New Roman"/>
          <w:b/>
          <w:bCs/>
          <w:lang w:val="en-US" w:eastAsia="en-GB"/>
        </w:rPr>
        <w:t xml:space="preserve"> </w:t>
      </w:r>
      <w:r w:rsidR="00FB569A" w:rsidRPr="00B63B1C">
        <w:rPr>
          <w:rFonts w:eastAsia="Times New Roman"/>
          <w:b/>
          <w:bCs/>
          <w:lang w:val="en-US" w:eastAsia="en-GB"/>
        </w:rPr>
        <w:t>House Prices</w:t>
      </w:r>
    </w:p>
    <w:p w:rsidR="00380E5B" w:rsidRDefault="00FB569A" w:rsidP="005F17BF">
      <w:pPr>
        <w:shd w:val="clear" w:color="auto" w:fill="FFFFFF"/>
        <w:ind w:left="426"/>
        <w:rPr>
          <w:rFonts w:eastAsia="Times New Roman"/>
          <w:lang w:val="en-US" w:eastAsia="en-GB"/>
        </w:rPr>
      </w:pPr>
      <w:r>
        <w:rPr>
          <w:rFonts w:eastAsia="Times New Roman"/>
          <w:lang w:val="en-US" w:eastAsia="en-GB"/>
        </w:rPr>
        <w:t>M</w:t>
      </w:r>
      <w:r w:rsidR="00380E5B" w:rsidRPr="00380E5B">
        <w:rPr>
          <w:rFonts w:eastAsia="Times New Roman"/>
          <w:lang w:val="en-US" w:eastAsia="en-GB"/>
        </w:rPr>
        <w:t>any economists believe that house prices could go down because of a potential fall in inward investment</w:t>
      </w:r>
      <w:r w:rsidR="004D664A">
        <w:rPr>
          <w:rFonts w:eastAsia="Times New Roman"/>
          <w:lang w:val="en-US" w:eastAsia="en-GB"/>
        </w:rPr>
        <w:t xml:space="preserve">. </w:t>
      </w:r>
      <w:r w:rsidR="00380E5B" w:rsidRPr="00380E5B">
        <w:rPr>
          <w:rFonts w:eastAsia="Times New Roman"/>
          <w:lang w:val="en-US" w:eastAsia="en-GB"/>
        </w:rPr>
        <w:t xml:space="preserve"> </w:t>
      </w:r>
      <w:r w:rsidR="00F578FA">
        <w:rPr>
          <w:rFonts w:eastAsia="Times New Roman"/>
          <w:lang w:val="en-US" w:eastAsia="en-GB"/>
        </w:rPr>
        <w:t xml:space="preserve">It is fair to say however that even with the recent financial markets fluctuations the average cost of dwellings in Oxford has been upwards. </w:t>
      </w:r>
    </w:p>
    <w:p w:rsidR="00455959" w:rsidRDefault="00455959" w:rsidP="005F17BF">
      <w:pPr>
        <w:shd w:val="clear" w:color="auto" w:fill="FFFFFF"/>
        <w:ind w:left="426"/>
        <w:rPr>
          <w:rFonts w:eastAsia="Times New Roman"/>
          <w:lang w:val="en-US" w:eastAsia="en-GB"/>
        </w:rPr>
      </w:pPr>
    </w:p>
    <w:p w:rsidR="00455959" w:rsidRDefault="00455959" w:rsidP="005F17BF">
      <w:pPr>
        <w:shd w:val="clear" w:color="auto" w:fill="FFFFFF"/>
        <w:ind w:left="426"/>
        <w:rPr>
          <w:rFonts w:eastAsia="Times New Roman"/>
          <w:lang w:val="en-US" w:eastAsia="en-GB"/>
        </w:rPr>
      </w:pPr>
      <w:r>
        <w:rPr>
          <w:rFonts w:eastAsia="Times New Roman"/>
          <w:noProof/>
          <w:lang w:eastAsia="en-GB"/>
        </w:rPr>
        <w:drawing>
          <wp:inline distT="0" distB="0" distL="0" distR="0" wp14:anchorId="577A943F" wp14:editId="14962283">
            <wp:extent cx="5731510" cy="1918687"/>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918687"/>
                    </a:xfrm>
                    <a:prstGeom prst="rect">
                      <a:avLst/>
                    </a:prstGeom>
                    <a:noFill/>
                  </pic:spPr>
                </pic:pic>
              </a:graphicData>
            </a:graphic>
          </wp:inline>
        </w:drawing>
      </w:r>
    </w:p>
    <w:p w:rsidR="00455959" w:rsidRDefault="00455959" w:rsidP="005F17BF">
      <w:pPr>
        <w:shd w:val="clear" w:color="auto" w:fill="FFFFFF"/>
        <w:ind w:left="426"/>
        <w:rPr>
          <w:rFonts w:eastAsia="Times New Roman"/>
          <w:lang w:val="en-US" w:eastAsia="en-GB"/>
        </w:rPr>
      </w:pPr>
    </w:p>
    <w:p w:rsidR="00E753CD" w:rsidRDefault="00E753CD" w:rsidP="005F17BF">
      <w:pPr>
        <w:shd w:val="clear" w:color="auto" w:fill="FFFFFF"/>
        <w:ind w:left="426"/>
        <w:rPr>
          <w:rFonts w:eastAsia="Times New Roman"/>
          <w:lang w:val="en-US" w:eastAsia="en-GB"/>
        </w:rPr>
      </w:pPr>
      <w:r>
        <w:rPr>
          <w:rFonts w:eastAsia="Times New Roman"/>
          <w:lang w:val="en-US" w:eastAsia="en-GB"/>
        </w:rPr>
        <w:t xml:space="preserve">UK house prices accelerated in February </w:t>
      </w:r>
      <w:r w:rsidR="00291F9D">
        <w:rPr>
          <w:rFonts w:eastAsia="Times New Roman"/>
          <w:lang w:val="en-US" w:eastAsia="en-GB"/>
        </w:rPr>
        <w:t xml:space="preserve">2017 </w:t>
      </w:r>
      <w:r>
        <w:rPr>
          <w:rFonts w:eastAsia="Times New Roman"/>
          <w:lang w:val="en-US" w:eastAsia="en-GB"/>
        </w:rPr>
        <w:t xml:space="preserve">rising by 4.5% in a year according to Nationwide. The outlook for the market however is uncertain with the Nationwide predicting a 2% rise in UK house prices over the course of 2017. </w:t>
      </w:r>
    </w:p>
    <w:p w:rsidR="00F578FA" w:rsidRDefault="00F578FA" w:rsidP="00B63B1C">
      <w:pPr>
        <w:shd w:val="clear" w:color="auto" w:fill="FFFFFF"/>
        <w:ind w:left="360"/>
        <w:rPr>
          <w:rFonts w:eastAsia="Times New Roman"/>
          <w:lang w:val="en-US" w:eastAsia="en-GB"/>
        </w:rPr>
      </w:pPr>
    </w:p>
    <w:p w:rsidR="00DB50DC" w:rsidRPr="00A53C7C" w:rsidRDefault="00DB50DC" w:rsidP="005F17BF">
      <w:pPr>
        <w:pStyle w:val="ListParagraph"/>
        <w:numPr>
          <w:ilvl w:val="0"/>
          <w:numId w:val="8"/>
        </w:numPr>
        <w:shd w:val="clear" w:color="auto" w:fill="FFFFFF"/>
        <w:ind w:left="426" w:hanging="426"/>
        <w:outlineLvl w:val="1"/>
        <w:rPr>
          <w:rFonts w:eastAsia="Times New Roman"/>
          <w:b/>
          <w:bCs/>
          <w:lang w:eastAsia="en-GB"/>
        </w:rPr>
      </w:pPr>
      <w:r w:rsidRPr="00A53C7C">
        <w:rPr>
          <w:rFonts w:eastAsia="Times New Roman"/>
          <w:b/>
          <w:bCs/>
          <w:lang w:eastAsia="en-GB"/>
        </w:rPr>
        <w:t>Petrol prices</w:t>
      </w:r>
    </w:p>
    <w:p w:rsidR="00291F9D" w:rsidRDefault="00A53C7C" w:rsidP="005F17BF">
      <w:pPr>
        <w:shd w:val="clear" w:color="auto" w:fill="FFFFFF"/>
        <w:ind w:left="426"/>
        <w:rPr>
          <w:rFonts w:eastAsia="Times New Roman"/>
          <w:lang w:eastAsia="en-GB"/>
        </w:rPr>
      </w:pPr>
      <w:r w:rsidRPr="00A53C7C">
        <w:rPr>
          <w:rFonts w:eastAsia="Times New Roman"/>
          <w:lang w:eastAsia="en-GB"/>
        </w:rPr>
        <w:t xml:space="preserve">Since June 2016 the cost of a litre of diesel has risen 9.4% from 111.8 p to 122.3p </w:t>
      </w:r>
      <w:r w:rsidR="00DB50DC" w:rsidRPr="00A53C7C">
        <w:rPr>
          <w:rFonts w:eastAsia="Times New Roman"/>
          <w:lang w:eastAsia="en-GB"/>
        </w:rPr>
        <w:t>The Council uses around £800k of fuel per annum</w:t>
      </w:r>
      <w:r w:rsidR="00315545" w:rsidRPr="00A53C7C">
        <w:rPr>
          <w:rFonts w:eastAsia="Times New Roman"/>
          <w:lang w:eastAsia="en-GB"/>
        </w:rPr>
        <w:t xml:space="preserve">, so this represents a </w:t>
      </w:r>
      <w:r w:rsidR="00DB50DC" w:rsidRPr="00A53C7C">
        <w:rPr>
          <w:rFonts w:eastAsia="Times New Roman"/>
          <w:lang w:eastAsia="en-GB"/>
        </w:rPr>
        <w:t>£</w:t>
      </w:r>
      <w:r w:rsidRPr="00A53C7C">
        <w:rPr>
          <w:rFonts w:eastAsia="Times New Roman"/>
          <w:lang w:eastAsia="en-GB"/>
        </w:rPr>
        <w:t>75</w:t>
      </w:r>
      <w:r w:rsidR="00DB50DC" w:rsidRPr="00A53C7C">
        <w:rPr>
          <w:rFonts w:eastAsia="Times New Roman"/>
          <w:lang w:eastAsia="en-GB"/>
        </w:rPr>
        <w:t>k increase</w:t>
      </w:r>
      <w:r>
        <w:rPr>
          <w:rFonts w:eastAsia="Times New Roman"/>
          <w:lang w:eastAsia="en-GB"/>
        </w:rPr>
        <w:t>.</w:t>
      </w:r>
    </w:p>
    <w:p w:rsidR="00621396" w:rsidRDefault="00621396" w:rsidP="00621396">
      <w:pPr>
        <w:pStyle w:val="NoSpacing"/>
        <w:rPr>
          <w:lang w:eastAsia="en-GB"/>
        </w:rPr>
      </w:pPr>
    </w:p>
    <w:p w:rsidR="00291F9D" w:rsidRPr="00621396" w:rsidRDefault="00291F9D" w:rsidP="00621396">
      <w:pPr>
        <w:pStyle w:val="NoSpacing"/>
        <w:rPr>
          <w:b/>
          <w:lang w:eastAsia="en-GB"/>
        </w:rPr>
      </w:pPr>
      <w:proofErr w:type="gramStart"/>
      <w:r w:rsidRPr="00621396">
        <w:rPr>
          <w:b/>
          <w:lang w:eastAsia="en-GB"/>
        </w:rPr>
        <w:t>13 )</w:t>
      </w:r>
      <w:proofErr w:type="gramEnd"/>
      <w:r w:rsidRPr="00621396">
        <w:rPr>
          <w:b/>
          <w:lang w:eastAsia="en-GB"/>
        </w:rPr>
        <w:tab/>
        <w:t>Employment</w:t>
      </w:r>
    </w:p>
    <w:p w:rsidR="00291F9D" w:rsidRDefault="00291F9D" w:rsidP="00621396">
      <w:pPr>
        <w:pStyle w:val="NoSpacing"/>
        <w:ind w:left="426"/>
        <w:rPr>
          <w:lang w:eastAsia="en-GB"/>
        </w:rPr>
      </w:pPr>
      <w:r w:rsidRPr="00291F9D">
        <w:rPr>
          <w:lang w:eastAsia="en-GB"/>
        </w:rPr>
        <w:t xml:space="preserve">The unemployment rate has been falling steadily over the last five years, as the UK recovered from the global financial crisis, which saw up to two million jobs lost, </w:t>
      </w:r>
      <w:hyperlink r:id="rId17" w:history="1">
        <w:r w:rsidRPr="00291F9D">
          <w:rPr>
            <w:bCs/>
            <w:color w:val="222222"/>
            <w:lang w:eastAsia="en-GB"/>
          </w:rPr>
          <w:t>according to one report</w:t>
        </w:r>
      </w:hyperlink>
      <w:r w:rsidRPr="00291F9D">
        <w:rPr>
          <w:lang w:eastAsia="en-GB"/>
        </w:rPr>
        <w:t>.</w:t>
      </w:r>
      <w:r w:rsidR="00302150">
        <w:rPr>
          <w:lang w:eastAsia="en-GB"/>
        </w:rPr>
        <w:t xml:space="preserve"> </w:t>
      </w:r>
      <w:r w:rsidRPr="00291F9D">
        <w:rPr>
          <w:lang w:eastAsia="en-GB"/>
        </w:rPr>
        <w:t xml:space="preserve">Wages have been growing faster than inflation in recent months, </w:t>
      </w:r>
      <w:hyperlink r:id="rId18" w:history="1">
        <w:r w:rsidRPr="00291F9D">
          <w:rPr>
            <w:bCs/>
            <w:color w:val="222222"/>
            <w:lang w:eastAsia="en-GB"/>
          </w:rPr>
          <w:t>though the gap is narrowing</w:t>
        </w:r>
      </w:hyperlink>
      <w:r w:rsidRPr="00291F9D">
        <w:rPr>
          <w:lang w:eastAsia="en-GB"/>
        </w:rPr>
        <w:t>, leading to warnings of squeezed incomes.</w:t>
      </w:r>
      <w:r w:rsidR="00302150">
        <w:rPr>
          <w:lang w:eastAsia="en-GB"/>
        </w:rPr>
        <w:t xml:space="preserve"> </w:t>
      </w:r>
      <w:r w:rsidRPr="00291F9D">
        <w:rPr>
          <w:lang w:eastAsia="en-GB"/>
        </w:rPr>
        <w:t>In the three months to January</w:t>
      </w:r>
      <w:r>
        <w:rPr>
          <w:lang w:eastAsia="en-GB"/>
        </w:rPr>
        <w:t xml:space="preserve"> 2017</w:t>
      </w:r>
      <w:r w:rsidRPr="00291F9D">
        <w:rPr>
          <w:lang w:eastAsia="en-GB"/>
        </w:rPr>
        <w:t>, regular pay increased by 2.3%, compared with the same period a year earlier. That was sharply lower than the 2.6% seen in the three months to December.</w:t>
      </w:r>
    </w:p>
    <w:p w:rsidR="00302150" w:rsidRPr="00291F9D" w:rsidRDefault="00302150" w:rsidP="00302150">
      <w:pPr>
        <w:pStyle w:val="NoSpacing"/>
        <w:ind w:left="426"/>
        <w:rPr>
          <w:lang w:eastAsia="en-GB"/>
        </w:rPr>
      </w:pPr>
    </w:p>
    <w:p w:rsidR="00291F9D" w:rsidRPr="00291F9D" w:rsidRDefault="00291F9D" w:rsidP="00302150">
      <w:pPr>
        <w:pStyle w:val="NoSpacing"/>
        <w:ind w:firstLine="426"/>
        <w:rPr>
          <w:lang w:eastAsia="en-GB"/>
        </w:rPr>
      </w:pPr>
      <w:r w:rsidRPr="00291F9D">
        <w:rPr>
          <w:lang w:eastAsia="en-GB"/>
        </w:rPr>
        <w:t xml:space="preserve">Meanwhile, inflation currently stands at </w:t>
      </w:r>
      <w:r w:rsidR="00E421B9">
        <w:rPr>
          <w:lang w:eastAsia="en-GB"/>
        </w:rPr>
        <w:t>2.3</w:t>
      </w:r>
      <w:r w:rsidRPr="00291F9D">
        <w:rPr>
          <w:lang w:eastAsia="en-GB"/>
        </w:rPr>
        <w:t xml:space="preserve">%, up from </w:t>
      </w:r>
      <w:r w:rsidR="00E421B9">
        <w:rPr>
          <w:lang w:eastAsia="en-GB"/>
        </w:rPr>
        <w:t>0.5</w:t>
      </w:r>
      <w:r w:rsidRPr="00291F9D">
        <w:rPr>
          <w:lang w:eastAsia="en-GB"/>
        </w:rPr>
        <w:t>% a month ago.</w:t>
      </w:r>
    </w:p>
    <w:p w:rsidR="00257D66" w:rsidRDefault="00291F9D" w:rsidP="00302150">
      <w:pPr>
        <w:pStyle w:val="NoSpacing"/>
        <w:ind w:left="426"/>
        <w:rPr>
          <w:lang w:eastAsia="en-GB"/>
        </w:rPr>
      </w:pPr>
      <w:r w:rsidRPr="00291F9D">
        <w:rPr>
          <w:lang w:eastAsia="en-GB"/>
        </w:rPr>
        <w:t>If the incomes squeeze translates into falling consumer confidence, then the main driver of the better-than-expected economic news since the referendum could turn more negative</w:t>
      </w:r>
      <w:r>
        <w:rPr>
          <w:lang w:eastAsia="en-GB"/>
        </w:rPr>
        <w:t>.</w:t>
      </w:r>
    </w:p>
    <w:p w:rsidR="00302150" w:rsidRDefault="00302150" w:rsidP="00302150">
      <w:pPr>
        <w:pStyle w:val="NoSpacing"/>
        <w:ind w:left="426"/>
        <w:rPr>
          <w:lang w:eastAsia="en-GB"/>
        </w:rPr>
      </w:pPr>
    </w:p>
    <w:p w:rsidR="00AC00EE" w:rsidRPr="002C3BC9" w:rsidRDefault="00AC00EE" w:rsidP="00AC00EE">
      <w:pPr>
        <w:ind w:left="426"/>
        <w:rPr>
          <w:rFonts w:eastAsia="Times New Roman"/>
          <w:b/>
          <w:lang w:eastAsia="en-GB"/>
        </w:rPr>
      </w:pPr>
      <w:r w:rsidRPr="00AC00EE">
        <w:rPr>
          <w:rFonts w:eastAsia="Times New Roman"/>
          <w:lang w:eastAsia="en-GB"/>
        </w:rPr>
        <w:t>In recent announcements, the TUC advised that nearly 150,000 adult social care and NHS jobs may be at risk if EU workers are no longer to stay in the UK after Brexit. In Oxford City Council we c</w:t>
      </w:r>
      <w:r w:rsidRPr="00AC00EE">
        <w:t xml:space="preserve">urrently have a maximum of 146 employees who may be EU nationals (89 undeclared and 57 specified on ITRENT). The cost of applying for a </w:t>
      </w:r>
      <w:r w:rsidRPr="00AC00EE">
        <w:rPr>
          <w:color w:val="000000"/>
        </w:rPr>
        <w:t xml:space="preserve">UK Registration Certificate or Permanent Residence Card </w:t>
      </w:r>
      <w:r w:rsidRPr="00AC00EE">
        <w:t xml:space="preserve">is £65 and in order to mitigate additional recruitment costs the Council </w:t>
      </w:r>
      <w:r>
        <w:t>has agreed</w:t>
      </w:r>
      <w:r w:rsidRPr="00AC00EE">
        <w:t xml:space="preserve"> to fund this cost at a total potential cost of £9,490.</w:t>
      </w:r>
      <w:r>
        <w:t xml:space="preserve"> </w:t>
      </w:r>
    </w:p>
    <w:p w:rsidR="00AC00EE" w:rsidRDefault="00AC00EE" w:rsidP="00302150">
      <w:pPr>
        <w:pStyle w:val="NoSpacing"/>
        <w:ind w:left="426"/>
        <w:rPr>
          <w:lang w:eastAsia="en-GB"/>
        </w:rPr>
      </w:pPr>
    </w:p>
    <w:p w:rsidR="00AC00EE" w:rsidRDefault="00AC00EE" w:rsidP="00302150">
      <w:pPr>
        <w:pStyle w:val="NoSpacing"/>
        <w:ind w:left="426"/>
        <w:rPr>
          <w:lang w:eastAsia="en-GB"/>
        </w:rPr>
      </w:pPr>
    </w:p>
    <w:p w:rsidR="00257D66" w:rsidRPr="00AE1C6E" w:rsidRDefault="00AE1C6E" w:rsidP="00AE1C6E">
      <w:pPr>
        <w:shd w:val="clear" w:color="auto" w:fill="FFFFFF"/>
        <w:rPr>
          <w:rFonts w:eastAsia="Times New Roman"/>
          <w:b/>
          <w:lang w:eastAsia="en-GB"/>
        </w:rPr>
      </w:pPr>
      <w:r>
        <w:rPr>
          <w:rFonts w:eastAsia="Times New Roman"/>
          <w:lang w:eastAsia="en-GB"/>
        </w:rPr>
        <w:t>14)</w:t>
      </w:r>
      <w:r w:rsidR="00257D66" w:rsidRPr="00AE1C6E">
        <w:rPr>
          <w:rFonts w:eastAsia="Times New Roman"/>
          <w:lang w:eastAsia="en-GB"/>
        </w:rPr>
        <w:t xml:space="preserve"> </w:t>
      </w:r>
      <w:r w:rsidR="00F751BC" w:rsidRPr="00AE1C6E">
        <w:rPr>
          <w:rFonts w:eastAsia="Times New Roman"/>
          <w:b/>
          <w:lang w:eastAsia="en-GB"/>
        </w:rPr>
        <w:t>The Council’s Key Income Streams</w:t>
      </w:r>
    </w:p>
    <w:p w:rsidR="00257D66" w:rsidRPr="00D16F06" w:rsidRDefault="00257D66" w:rsidP="00257D66">
      <w:pPr>
        <w:shd w:val="clear" w:color="auto" w:fill="FFFFFF"/>
        <w:rPr>
          <w:rFonts w:eastAsia="Times New Roman"/>
          <w:b/>
          <w:lang w:eastAsia="en-GB"/>
        </w:rPr>
      </w:pPr>
    </w:p>
    <w:p w:rsidR="00257D66" w:rsidRPr="00D16F06" w:rsidRDefault="00257D66" w:rsidP="00257D66">
      <w:pPr>
        <w:shd w:val="clear" w:color="auto" w:fill="FFFFFF"/>
        <w:ind w:left="426"/>
        <w:rPr>
          <w:rFonts w:eastAsia="Times New Roman"/>
          <w:lang w:eastAsia="en-GB"/>
        </w:rPr>
      </w:pPr>
      <w:r w:rsidRPr="00D16F06">
        <w:rPr>
          <w:rFonts w:eastAsia="Times New Roman"/>
          <w:lang w:eastAsia="en-GB"/>
        </w:rPr>
        <w:t xml:space="preserve">For an indication of what the effect of BREXIT may have </w:t>
      </w:r>
      <w:r w:rsidR="00290CD7" w:rsidRPr="00D16F06">
        <w:rPr>
          <w:rFonts w:eastAsia="Times New Roman"/>
          <w:lang w:eastAsia="en-GB"/>
        </w:rPr>
        <w:t xml:space="preserve">on </w:t>
      </w:r>
      <w:r w:rsidRPr="00D16F06">
        <w:rPr>
          <w:rFonts w:eastAsia="Times New Roman"/>
          <w:lang w:eastAsia="en-GB"/>
        </w:rPr>
        <w:t xml:space="preserve">the Councils own income streams it is worth looking at what happened in the last </w:t>
      </w:r>
      <w:r w:rsidR="00290CD7" w:rsidRPr="00D16F06">
        <w:rPr>
          <w:rFonts w:eastAsia="Times New Roman"/>
          <w:lang w:eastAsia="en-GB"/>
        </w:rPr>
        <w:t>recession</w:t>
      </w:r>
      <w:r w:rsidRPr="00D16F06">
        <w:rPr>
          <w:rFonts w:eastAsia="Times New Roman"/>
          <w:lang w:eastAsia="en-GB"/>
        </w:rPr>
        <w:t xml:space="preserve"> and the effect on some of the Council</w:t>
      </w:r>
      <w:r w:rsidR="00290CD7" w:rsidRPr="00D16F06">
        <w:rPr>
          <w:rFonts w:eastAsia="Times New Roman"/>
          <w:lang w:eastAsia="en-GB"/>
        </w:rPr>
        <w:t>'</w:t>
      </w:r>
      <w:r w:rsidRPr="00D16F06">
        <w:rPr>
          <w:rFonts w:eastAsia="Times New Roman"/>
          <w:lang w:eastAsia="en-GB"/>
        </w:rPr>
        <w:t>s main income streams</w:t>
      </w:r>
      <w:r w:rsidR="00C313F1" w:rsidRPr="00D16F06">
        <w:rPr>
          <w:rFonts w:eastAsia="Times New Roman"/>
          <w:lang w:eastAsia="en-GB"/>
        </w:rPr>
        <w:t>, i.e.</w:t>
      </w:r>
      <w:r w:rsidRPr="00D16F06">
        <w:rPr>
          <w:rFonts w:eastAsia="Times New Roman"/>
          <w:lang w:eastAsia="en-GB"/>
        </w:rPr>
        <w:t xml:space="preserve"> car parking, planning fees, investment income, commercial property income  and Business Rates</w:t>
      </w:r>
      <w:r w:rsidR="004834FA" w:rsidRPr="00D16F06">
        <w:rPr>
          <w:rFonts w:eastAsia="Times New Roman"/>
          <w:lang w:eastAsia="en-GB"/>
        </w:rPr>
        <w:t>. It will appreciated that p</w:t>
      </w:r>
      <w:r w:rsidRPr="00D16F06">
        <w:rPr>
          <w:rFonts w:eastAsia="Times New Roman"/>
          <w:lang w:eastAsia="en-GB"/>
        </w:rPr>
        <w:t>ast history may no</w:t>
      </w:r>
      <w:r w:rsidR="004834FA" w:rsidRPr="00D16F06">
        <w:rPr>
          <w:rFonts w:eastAsia="Times New Roman"/>
          <w:lang w:eastAsia="en-GB"/>
        </w:rPr>
        <w:t>t be reflective of the future.</w:t>
      </w:r>
    </w:p>
    <w:p w:rsidR="004834FA" w:rsidRPr="00D16F06" w:rsidRDefault="004834FA" w:rsidP="00257D66">
      <w:pPr>
        <w:shd w:val="clear" w:color="auto" w:fill="FFFFFF"/>
        <w:ind w:left="426"/>
        <w:rPr>
          <w:rFonts w:eastAsia="Times New Roman"/>
          <w:lang w:eastAsia="en-GB"/>
        </w:rPr>
      </w:pPr>
    </w:p>
    <w:p w:rsidR="004834FA" w:rsidRDefault="004834FA" w:rsidP="00257D66">
      <w:pPr>
        <w:shd w:val="clear" w:color="auto" w:fill="FFFFFF"/>
        <w:ind w:left="426"/>
        <w:rPr>
          <w:rFonts w:eastAsia="Times New Roman"/>
          <w:lang w:eastAsia="en-GB"/>
        </w:rPr>
      </w:pPr>
      <w:r w:rsidRPr="00D16F06">
        <w:rPr>
          <w:rFonts w:eastAsia="Times New Roman"/>
          <w:lang w:eastAsia="en-GB"/>
        </w:rPr>
        <w:t>Following 6 successive quarters of negative growth the UK finally moved out of recession in the final quarter of 2009. The graph below shows the Councils</w:t>
      </w:r>
      <w:r w:rsidR="00C313F1" w:rsidRPr="00D16F06">
        <w:rPr>
          <w:rFonts w:eastAsia="Times New Roman"/>
          <w:lang w:eastAsia="en-GB"/>
        </w:rPr>
        <w:t>’</w:t>
      </w:r>
      <w:r w:rsidRPr="00D16F06">
        <w:rPr>
          <w:rFonts w:eastAsia="Times New Roman"/>
          <w:lang w:eastAsia="en-GB"/>
        </w:rPr>
        <w:t xml:space="preserve"> main income streams </w:t>
      </w:r>
      <w:r w:rsidR="00F751BC" w:rsidRPr="00D16F06">
        <w:rPr>
          <w:rFonts w:eastAsia="Times New Roman"/>
          <w:lang w:eastAsia="en-GB"/>
        </w:rPr>
        <w:t>between 200</w:t>
      </w:r>
      <w:r w:rsidR="00D16F06" w:rsidRPr="00D16F06">
        <w:rPr>
          <w:rFonts w:eastAsia="Times New Roman"/>
          <w:lang w:eastAsia="en-GB"/>
        </w:rPr>
        <w:t>6</w:t>
      </w:r>
      <w:r w:rsidR="00F751BC" w:rsidRPr="00D16F06">
        <w:rPr>
          <w:rFonts w:eastAsia="Times New Roman"/>
          <w:lang w:eastAsia="en-GB"/>
        </w:rPr>
        <w:t>/0</w:t>
      </w:r>
      <w:r w:rsidR="00D16F06" w:rsidRPr="00D16F06">
        <w:rPr>
          <w:rFonts w:eastAsia="Times New Roman"/>
          <w:lang w:eastAsia="en-GB"/>
        </w:rPr>
        <w:t>7</w:t>
      </w:r>
      <w:r w:rsidR="00F751BC" w:rsidRPr="00D16F06">
        <w:rPr>
          <w:rFonts w:eastAsia="Times New Roman"/>
          <w:lang w:eastAsia="en-GB"/>
        </w:rPr>
        <w:t xml:space="preserve"> and 201</w:t>
      </w:r>
      <w:r w:rsidR="00D16F06" w:rsidRPr="00D16F06">
        <w:rPr>
          <w:rFonts w:eastAsia="Times New Roman"/>
          <w:lang w:eastAsia="en-GB"/>
        </w:rPr>
        <w:t>6</w:t>
      </w:r>
      <w:r w:rsidR="00F751BC" w:rsidRPr="00D16F06">
        <w:rPr>
          <w:rFonts w:eastAsia="Times New Roman"/>
          <w:lang w:eastAsia="en-GB"/>
        </w:rPr>
        <w:t>/1</w:t>
      </w:r>
      <w:r w:rsidR="00D16F06" w:rsidRPr="00D16F06">
        <w:rPr>
          <w:rFonts w:eastAsia="Times New Roman"/>
          <w:lang w:eastAsia="en-GB"/>
        </w:rPr>
        <w:t>7</w:t>
      </w:r>
      <w:r w:rsidR="00F751BC" w:rsidRPr="00D16F06">
        <w:rPr>
          <w:rFonts w:eastAsia="Times New Roman"/>
          <w:lang w:eastAsia="en-GB"/>
        </w:rPr>
        <w:t xml:space="preserve"> which shows the trend before, during and after the recession.</w:t>
      </w:r>
    </w:p>
    <w:p w:rsidR="002F782D" w:rsidRDefault="002F782D" w:rsidP="00257D66">
      <w:pPr>
        <w:shd w:val="clear" w:color="auto" w:fill="FFFFFF"/>
        <w:ind w:left="426"/>
        <w:rPr>
          <w:rFonts w:eastAsia="Times New Roman"/>
          <w:lang w:eastAsia="en-GB"/>
        </w:rPr>
      </w:pPr>
    </w:p>
    <w:p w:rsidR="002F782D" w:rsidRDefault="00AE1C6E" w:rsidP="00257D66">
      <w:pPr>
        <w:shd w:val="clear" w:color="auto" w:fill="FFFFFF"/>
        <w:ind w:left="426"/>
        <w:rPr>
          <w:rFonts w:eastAsia="Times New Roman"/>
          <w:lang w:eastAsia="en-GB"/>
        </w:rPr>
      </w:pPr>
      <w:r>
        <w:rPr>
          <w:noProof/>
          <w:lang w:eastAsia="en-GB"/>
        </w:rPr>
        <w:drawing>
          <wp:inline distT="0" distB="0" distL="0" distR="0" wp14:anchorId="232FF31F" wp14:editId="103C518B">
            <wp:extent cx="5731510" cy="3731605"/>
            <wp:effectExtent l="0" t="0" r="21590" b="2159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834FA" w:rsidRPr="00257D66" w:rsidRDefault="004834FA" w:rsidP="00257D66">
      <w:pPr>
        <w:shd w:val="clear" w:color="auto" w:fill="FFFFFF"/>
        <w:ind w:left="426"/>
        <w:rPr>
          <w:rFonts w:eastAsia="Times New Roman"/>
          <w:lang w:eastAsia="en-GB"/>
        </w:rPr>
      </w:pPr>
    </w:p>
    <w:p w:rsidR="00257D66" w:rsidRDefault="00257D66" w:rsidP="003F0FD4">
      <w:pPr>
        <w:shd w:val="clear" w:color="auto" w:fill="FFFFFF"/>
        <w:ind w:left="360"/>
        <w:rPr>
          <w:rFonts w:eastAsia="Times New Roman"/>
          <w:lang w:eastAsia="en-GB"/>
        </w:rPr>
      </w:pPr>
    </w:p>
    <w:p w:rsidR="00482B43" w:rsidRDefault="00482B43" w:rsidP="00315545">
      <w:pPr>
        <w:shd w:val="clear" w:color="auto" w:fill="FFFFFF"/>
        <w:rPr>
          <w:rFonts w:eastAsia="Times New Roman"/>
          <w:lang w:eastAsia="en-GB"/>
        </w:rPr>
      </w:pPr>
      <w:r>
        <w:rPr>
          <w:rFonts w:eastAsia="Times New Roman"/>
          <w:lang w:eastAsia="en-GB"/>
        </w:rPr>
        <w:t>The main observations include:</w:t>
      </w:r>
    </w:p>
    <w:p w:rsidR="00482B43" w:rsidRDefault="00482B43" w:rsidP="00315545">
      <w:pPr>
        <w:shd w:val="clear" w:color="auto" w:fill="FFFFFF"/>
        <w:rPr>
          <w:rFonts w:eastAsia="Times New Roman"/>
          <w:lang w:eastAsia="en-GB"/>
        </w:rPr>
      </w:pPr>
    </w:p>
    <w:p w:rsidR="002F782D" w:rsidRDefault="002F782D" w:rsidP="00482B43">
      <w:pPr>
        <w:pStyle w:val="ListParagraph"/>
        <w:numPr>
          <w:ilvl w:val="0"/>
          <w:numId w:val="11"/>
        </w:numPr>
        <w:shd w:val="clear" w:color="auto" w:fill="FFFFFF"/>
        <w:rPr>
          <w:rFonts w:eastAsia="Times New Roman"/>
          <w:lang w:eastAsia="en-GB"/>
        </w:rPr>
      </w:pPr>
      <w:r>
        <w:rPr>
          <w:rFonts w:eastAsia="Times New Roman"/>
          <w:lang w:eastAsia="en-GB"/>
        </w:rPr>
        <w:t>The figures for 2016-17 are for 11 months ending 28</w:t>
      </w:r>
      <w:r w:rsidRPr="002F782D">
        <w:rPr>
          <w:rFonts w:eastAsia="Times New Roman"/>
          <w:vertAlign w:val="superscript"/>
          <w:lang w:eastAsia="en-GB"/>
        </w:rPr>
        <w:t>th</w:t>
      </w:r>
      <w:r>
        <w:rPr>
          <w:rFonts w:eastAsia="Times New Roman"/>
          <w:lang w:eastAsia="en-GB"/>
        </w:rPr>
        <w:t xml:space="preserve"> February 2017</w:t>
      </w:r>
    </w:p>
    <w:p w:rsidR="00482B43" w:rsidRDefault="00482B43" w:rsidP="00482B43">
      <w:pPr>
        <w:pStyle w:val="ListParagraph"/>
        <w:numPr>
          <w:ilvl w:val="0"/>
          <w:numId w:val="11"/>
        </w:numPr>
        <w:shd w:val="clear" w:color="auto" w:fill="FFFFFF"/>
        <w:rPr>
          <w:rFonts w:eastAsia="Times New Roman"/>
          <w:lang w:eastAsia="en-GB"/>
        </w:rPr>
      </w:pPr>
      <w:r>
        <w:rPr>
          <w:rFonts w:eastAsia="Times New Roman"/>
          <w:lang w:eastAsia="en-GB"/>
        </w:rPr>
        <w:t xml:space="preserve">Investment income dropped significantly as base rates were cut to 0.5% </w:t>
      </w:r>
      <w:r w:rsidR="00F751BC">
        <w:rPr>
          <w:rFonts w:eastAsia="Times New Roman"/>
          <w:lang w:eastAsia="en-GB"/>
        </w:rPr>
        <w:t>and will drop further following the cut to 0.25%</w:t>
      </w:r>
    </w:p>
    <w:p w:rsidR="00482B43" w:rsidRDefault="00482B43" w:rsidP="00482B43">
      <w:pPr>
        <w:pStyle w:val="ListParagraph"/>
        <w:numPr>
          <w:ilvl w:val="0"/>
          <w:numId w:val="11"/>
        </w:numPr>
        <w:shd w:val="clear" w:color="auto" w:fill="FFFFFF"/>
        <w:rPr>
          <w:rFonts w:eastAsia="Times New Roman"/>
          <w:lang w:eastAsia="en-GB"/>
        </w:rPr>
      </w:pPr>
      <w:r>
        <w:rPr>
          <w:rFonts w:eastAsia="Times New Roman"/>
          <w:lang w:eastAsia="en-GB"/>
        </w:rPr>
        <w:t>Some dip in car parking income in 2010/11 but equally this could be explained by the transfer of 2 park and ride sites to the County Council</w:t>
      </w:r>
      <w:r w:rsidR="0053517E">
        <w:rPr>
          <w:rFonts w:eastAsia="Times New Roman"/>
          <w:lang w:eastAsia="en-GB"/>
        </w:rPr>
        <w:t>. Car parking income in 2016-17 at year end will be in line with 2015-16 levels.</w:t>
      </w:r>
    </w:p>
    <w:p w:rsidR="00482B43" w:rsidRDefault="00482B43" w:rsidP="00482B43">
      <w:pPr>
        <w:pStyle w:val="ListParagraph"/>
        <w:numPr>
          <w:ilvl w:val="0"/>
          <w:numId w:val="11"/>
        </w:numPr>
        <w:shd w:val="clear" w:color="auto" w:fill="FFFFFF"/>
        <w:rPr>
          <w:rFonts w:eastAsia="Times New Roman"/>
          <w:lang w:eastAsia="en-GB"/>
        </w:rPr>
      </w:pPr>
      <w:r>
        <w:rPr>
          <w:rFonts w:eastAsia="Times New Roman"/>
          <w:lang w:eastAsia="en-GB"/>
        </w:rPr>
        <w:t>Planning fees show some plateauing in 2008/2009 but with steady growth thereafter</w:t>
      </w:r>
    </w:p>
    <w:p w:rsidR="00482B43" w:rsidRDefault="00482B43" w:rsidP="00482B43">
      <w:pPr>
        <w:pStyle w:val="ListParagraph"/>
        <w:numPr>
          <w:ilvl w:val="0"/>
          <w:numId w:val="11"/>
        </w:numPr>
        <w:shd w:val="clear" w:color="auto" w:fill="FFFFFF"/>
        <w:rPr>
          <w:rFonts w:eastAsia="Times New Roman"/>
          <w:lang w:eastAsia="en-GB"/>
        </w:rPr>
      </w:pPr>
      <w:r>
        <w:rPr>
          <w:rFonts w:eastAsia="Times New Roman"/>
          <w:lang w:eastAsia="en-GB"/>
        </w:rPr>
        <w:t>Commercial rents have continued to climb over the period, more significantly in 2014/15 which arises due to the switch of car parking income from the Westgate in favour of a fixed rental from the Westgate Development Partnership.</w:t>
      </w:r>
    </w:p>
    <w:p w:rsidR="002169FF" w:rsidRPr="00482B43" w:rsidRDefault="002169FF" w:rsidP="002169FF">
      <w:pPr>
        <w:pStyle w:val="ListParagraph"/>
        <w:shd w:val="clear" w:color="auto" w:fill="FFFFFF"/>
        <w:rPr>
          <w:rFonts w:eastAsia="Times New Roman"/>
          <w:lang w:eastAsia="en-GB"/>
        </w:rPr>
      </w:pPr>
    </w:p>
    <w:p w:rsidR="00482B43" w:rsidRDefault="00AE1C6E" w:rsidP="00315545">
      <w:pPr>
        <w:shd w:val="clear" w:color="auto" w:fill="FFFFFF"/>
        <w:rPr>
          <w:rFonts w:eastAsia="Times New Roman"/>
          <w:b/>
          <w:lang w:eastAsia="en-GB"/>
        </w:rPr>
      </w:pPr>
      <w:r>
        <w:rPr>
          <w:rFonts w:eastAsia="Times New Roman"/>
          <w:b/>
          <w:lang w:eastAsia="en-GB"/>
        </w:rPr>
        <w:t>15)</w:t>
      </w:r>
      <w:r w:rsidR="002169FF">
        <w:rPr>
          <w:rFonts w:eastAsia="Times New Roman"/>
          <w:b/>
          <w:lang w:eastAsia="en-GB"/>
        </w:rPr>
        <w:tab/>
        <w:t>Focus on Investment Property</w:t>
      </w:r>
    </w:p>
    <w:p w:rsidR="002169FF" w:rsidRDefault="002169FF" w:rsidP="00315545">
      <w:pPr>
        <w:shd w:val="clear" w:color="auto" w:fill="FFFFFF"/>
        <w:rPr>
          <w:rFonts w:eastAsia="Times New Roman"/>
          <w:b/>
          <w:lang w:eastAsia="en-GB"/>
        </w:rPr>
      </w:pPr>
    </w:p>
    <w:p w:rsidR="002169FF" w:rsidRDefault="00482B43" w:rsidP="00A53C7C">
      <w:r>
        <w:t xml:space="preserve">The Council has a commercial portfolio that currently is estimated to deliver a rental stream of </w:t>
      </w:r>
      <w:r w:rsidR="00D16F06">
        <w:t xml:space="preserve">around </w:t>
      </w:r>
      <w:r>
        <w:t>£1</w:t>
      </w:r>
      <w:r w:rsidR="00D16F06">
        <w:t>0</w:t>
      </w:r>
      <w:r>
        <w:t xml:space="preserve">m in 2016/17. </w:t>
      </w:r>
    </w:p>
    <w:p w:rsidR="00A53C7C" w:rsidRDefault="00A53C7C" w:rsidP="00A53C7C">
      <w:pPr>
        <w:rPr>
          <w:rFonts w:eastAsia="Times New Roman"/>
          <w:b/>
          <w:lang w:eastAsia="en-GB"/>
        </w:rPr>
      </w:pPr>
    </w:p>
    <w:p w:rsidR="002169FF" w:rsidRDefault="00CE661D" w:rsidP="00315545">
      <w:pPr>
        <w:shd w:val="clear" w:color="auto" w:fill="FFFFFF"/>
        <w:rPr>
          <w:rFonts w:eastAsia="Times New Roman"/>
          <w:b/>
          <w:lang w:eastAsia="en-GB"/>
        </w:rPr>
      </w:pPr>
      <w:r>
        <w:rPr>
          <w:rFonts w:eastAsia="Times New Roman"/>
          <w:b/>
          <w:lang w:eastAsia="en-GB"/>
        </w:rPr>
        <w:t>Analysis of Commercial Property Rental Income By Type of Holding</w:t>
      </w:r>
    </w:p>
    <w:p w:rsidR="00CE661D" w:rsidRDefault="00CE661D" w:rsidP="00315545">
      <w:pPr>
        <w:shd w:val="clear" w:color="auto" w:fill="FFFFFF"/>
        <w:rPr>
          <w:rFonts w:eastAsia="Times New Roman"/>
          <w:b/>
          <w:lang w:eastAsia="en-GB"/>
        </w:rPr>
      </w:pPr>
    </w:p>
    <w:p w:rsidR="002169FF" w:rsidRDefault="00CE661D" w:rsidP="002169FF">
      <w:pPr>
        <w:pStyle w:val="ListParagraph"/>
      </w:pPr>
      <w:r w:rsidRPr="00CE661D">
        <w:rPr>
          <w:noProof/>
          <w:lang w:eastAsia="en-GB"/>
        </w:rPr>
        <w:drawing>
          <wp:inline distT="0" distB="0" distL="0" distR="0" wp14:anchorId="7E54CCA6" wp14:editId="163BF3BE">
            <wp:extent cx="2943225" cy="4019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43225" cy="4019550"/>
                    </a:xfrm>
                    <a:prstGeom prst="rect">
                      <a:avLst/>
                    </a:prstGeom>
                    <a:noFill/>
                    <a:ln>
                      <a:noFill/>
                    </a:ln>
                  </pic:spPr>
                </pic:pic>
              </a:graphicData>
            </a:graphic>
          </wp:inline>
        </w:drawing>
      </w:r>
    </w:p>
    <w:p w:rsidR="00CE661D" w:rsidRDefault="00A53C7C" w:rsidP="002169FF">
      <w:pPr>
        <w:ind w:left="720"/>
      </w:pPr>
      <w:r>
        <w:t xml:space="preserve">There has been no </w:t>
      </w:r>
      <w:r w:rsidR="005806B1">
        <w:t>marked change in income since the Brexit decision.</w:t>
      </w:r>
    </w:p>
    <w:p w:rsidR="002169FF" w:rsidRDefault="002169FF" w:rsidP="002169FF">
      <w:pPr>
        <w:pStyle w:val="ListParagraph"/>
      </w:pPr>
    </w:p>
    <w:p w:rsidR="002169FF" w:rsidRDefault="00AE1C6E" w:rsidP="002169FF">
      <w:pPr>
        <w:rPr>
          <w:b/>
        </w:rPr>
      </w:pPr>
      <w:r>
        <w:rPr>
          <w:b/>
        </w:rPr>
        <w:t>16)</w:t>
      </w:r>
      <w:r w:rsidR="002169FF" w:rsidRPr="002169FF">
        <w:rPr>
          <w:b/>
        </w:rPr>
        <w:tab/>
        <w:t>Business Rates</w:t>
      </w:r>
    </w:p>
    <w:p w:rsidR="002A1511" w:rsidRPr="002169FF" w:rsidRDefault="002A1511" w:rsidP="002169FF">
      <w:pPr>
        <w:rPr>
          <w:b/>
        </w:rPr>
      </w:pPr>
    </w:p>
    <w:p w:rsidR="002169FF" w:rsidRDefault="002A1511" w:rsidP="00302150">
      <w:pPr>
        <w:pStyle w:val="ListParagraph"/>
        <w:ind w:hanging="720"/>
      </w:pPr>
      <w:r>
        <w:t>The business rates net collectable debit in Oxford City is shown as follows</w:t>
      </w:r>
    </w:p>
    <w:p w:rsidR="002169FF" w:rsidRDefault="002A1511" w:rsidP="002169FF">
      <w:r>
        <w:tab/>
      </w:r>
    </w:p>
    <w:tbl>
      <w:tblPr>
        <w:tblW w:w="3580" w:type="dxa"/>
        <w:tblInd w:w="93" w:type="dxa"/>
        <w:tblLook w:val="04A0" w:firstRow="1" w:lastRow="0" w:firstColumn="1" w:lastColumn="0" w:noHBand="0" w:noVBand="1"/>
      </w:tblPr>
      <w:tblGrid>
        <w:gridCol w:w="1770"/>
        <w:gridCol w:w="266"/>
        <w:gridCol w:w="266"/>
        <w:gridCol w:w="1450"/>
      </w:tblGrid>
      <w:tr w:rsidR="005806B1" w:rsidRPr="000D3551" w:rsidTr="00F614A9">
        <w:trPr>
          <w:trHeight w:val="300"/>
        </w:trPr>
        <w:tc>
          <w:tcPr>
            <w:tcW w:w="3580" w:type="dxa"/>
            <w:gridSpan w:val="4"/>
            <w:tcBorders>
              <w:top w:val="single" w:sz="8" w:space="0" w:color="auto"/>
              <w:left w:val="single" w:sz="8" w:space="0" w:color="auto"/>
              <w:bottom w:val="nil"/>
              <w:right w:val="single" w:sz="8" w:space="0" w:color="000000"/>
            </w:tcBorders>
            <w:shd w:val="clear" w:color="000000" w:fill="C4BD97"/>
            <w:noWrap/>
            <w:vAlign w:val="bottom"/>
            <w:hideMark/>
          </w:tcPr>
          <w:p w:rsidR="005806B1" w:rsidRPr="000D3551" w:rsidRDefault="005806B1" w:rsidP="00F614A9">
            <w:pPr>
              <w:rPr>
                <w:rFonts w:ascii="Calibri" w:eastAsia="Times New Roman" w:hAnsi="Calibri" w:cs="Calibri"/>
                <w:b/>
                <w:bCs/>
                <w:color w:val="000000"/>
                <w:sz w:val="22"/>
                <w:szCs w:val="22"/>
                <w:lang w:eastAsia="en-GB"/>
              </w:rPr>
            </w:pPr>
            <w:r w:rsidRPr="000D3551">
              <w:rPr>
                <w:rFonts w:ascii="Calibri" w:eastAsia="Times New Roman" w:hAnsi="Calibri" w:cs="Calibri"/>
                <w:b/>
                <w:bCs/>
                <w:color w:val="000000"/>
                <w:sz w:val="22"/>
                <w:szCs w:val="22"/>
                <w:lang w:eastAsia="en-GB"/>
              </w:rPr>
              <w:t>Business Rates Net Collectable Debit</w:t>
            </w:r>
          </w:p>
        </w:tc>
      </w:tr>
      <w:tr w:rsidR="005806B1" w:rsidRPr="000D3551" w:rsidTr="00F614A9">
        <w:trPr>
          <w:trHeight w:val="300"/>
        </w:trPr>
        <w:tc>
          <w:tcPr>
            <w:tcW w:w="1770" w:type="dxa"/>
            <w:tcBorders>
              <w:top w:val="nil"/>
              <w:left w:val="single" w:sz="8" w:space="0" w:color="auto"/>
              <w:bottom w:val="nil"/>
              <w:right w:val="nil"/>
            </w:tcBorders>
            <w:shd w:val="clear" w:color="000000" w:fill="C4BD97"/>
            <w:noWrap/>
            <w:vAlign w:val="bottom"/>
            <w:hideMark/>
          </w:tcPr>
          <w:p w:rsidR="005806B1" w:rsidRPr="000D3551" w:rsidRDefault="005806B1" w:rsidP="00F614A9">
            <w:pPr>
              <w:rPr>
                <w:rFonts w:ascii="Calibri" w:eastAsia="Times New Roman" w:hAnsi="Calibri" w:cs="Calibri"/>
                <w:b/>
                <w:bCs/>
                <w:color w:val="000000"/>
                <w:sz w:val="22"/>
                <w:szCs w:val="22"/>
                <w:lang w:eastAsia="en-GB"/>
              </w:rPr>
            </w:pPr>
            <w:r w:rsidRPr="000D3551">
              <w:rPr>
                <w:rFonts w:ascii="Calibri" w:eastAsia="Times New Roman" w:hAnsi="Calibri" w:cs="Calibri"/>
                <w:b/>
                <w:bCs/>
                <w:color w:val="000000"/>
                <w:sz w:val="22"/>
                <w:szCs w:val="22"/>
                <w:lang w:eastAsia="en-GB"/>
              </w:rPr>
              <w:t> </w:t>
            </w:r>
          </w:p>
        </w:tc>
        <w:tc>
          <w:tcPr>
            <w:tcW w:w="180" w:type="dxa"/>
            <w:tcBorders>
              <w:top w:val="nil"/>
              <w:left w:val="nil"/>
              <w:bottom w:val="nil"/>
              <w:right w:val="nil"/>
            </w:tcBorders>
            <w:shd w:val="clear" w:color="000000" w:fill="C4BD97"/>
            <w:noWrap/>
            <w:vAlign w:val="bottom"/>
            <w:hideMark/>
          </w:tcPr>
          <w:p w:rsidR="005806B1" w:rsidRPr="000D3551" w:rsidRDefault="005806B1" w:rsidP="00F614A9">
            <w:pPr>
              <w:rPr>
                <w:rFonts w:ascii="Calibri" w:eastAsia="Times New Roman" w:hAnsi="Calibri" w:cs="Calibri"/>
                <w:b/>
                <w:bCs/>
                <w:color w:val="000000"/>
                <w:sz w:val="22"/>
                <w:szCs w:val="22"/>
                <w:lang w:eastAsia="en-GB"/>
              </w:rPr>
            </w:pPr>
            <w:r w:rsidRPr="000D3551">
              <w:rPr>
                <w:rFonts w:ascii="Calibri" w:eastAsia="Times New Roman" w:hAnsi="Calibri" w:cs="Calibri"/>
                <w:b/>
                <w:bCs/>
                <w:color w:val="000000"/>
                <w:sz w:val="22"/>
                <w:szCs w:val="22"/>
                <w:lang w:eastAsia="en-GB"/>
              </w:rPr>
              <w:t> </w:t>
            </w:r>
          </w:p>
        </w:tc>
        <w:tc>
          <w:tcPr>
            <w:tcW w:w="180" w:type="dxa"/>
            <w:tcBorders>
              <w:top w:val="nil"/>
              <w:left w:val="nil"/>
              <w:bottom w:val="nil"/>
              <w:right w:val="nil"/>
            </w:tcBorders>
            <w:shd w:val="clear" w:color="000000" w:fill="C4BD97"/>
            <w:noWrap/>
            <w:vAlign w:val="bottom"/>
            <w:hideMark/>
          </w:tcPr>
          <w:p w:rsidR="005806B1" w:rsidRPr="000D3551" w:rsidRDefault="005806B1" w:rsidP="00F614A9">
            <w:pPr>
              <w:rPr>
                <w:rFonts w:ascii="Calibri" w:eastAsia="Times New Roman" w:hAnsi="Calibri" w:cs="Calibri"/>
                <w:b/>
                <w:bCs/>
                <w:color w:val="000000"/>
                <w:sz w:val="22"/>
                <w:szCs w:val="22"/>
                <w:lang w:eastAsia="en-GB"/>
              </w:rPr>
            </w:pPr>
            <w:r w:rsidRPr="000D3551">
              <w:rPr>
                <w:rFonts w:ascii="Calibri" w:eastAsia="Times New Roman" w:hAnsi="Calibri" w:cs="Calibri"/>
                <w:b/>
                <w:bCs/>
                <w:color w:val="000000"/>
                <w:sz w:val="22"/>
                <w:szCs w:val="22"/>
                <w:lang w:eastAsia="en-GB"/>
              </w:rPr>
              <w:t> </w:t>
            </w:r>
          </w:p>
        </w:tc>
        <w:tc>
          <w:tcPr>
            <w:tcW w:w="1450" w:type="dxa"/>
            <w:tcBorders>
              <w:top w:val="nil"/>
              <w:left w:val="nil"/>
              <w:bottom w:val="nil"/>
              <w:right w:val="single" w:sz="8" w:space="0" w:color="auto"/>
            </w:tcBorders>
            <w:shd w:val="clear" w:color="000000" w:fill="C4BD97"/>
            <w:noWrap/>
            <w:vAlign w:val="bottom"/>
            <w:hideMark/>
          </w:tcPr>
          <w:p w:rsidR="005806B1" w:rsidRPr="000D3551" w:rsidRDefault="005806B1" w:rsidP="00F614A9">
            <w:pPr>
              <w:rPr>
                <w:rFonts w:ascii="Calibri" w:eastAsia="Times New Roman" w:hAnsi="Calibri" w:cs="Calibri"/>
                <w:b/>
                <w:bCs/>
                <w:color w:val="000000"/>
                <w:sz w:val="22"/>
                <w:szCs w:val="22"/>
                <w:lang w:eastAsia="en-GB"/>
              </w:rPr>
            </w:pPr>
            <w:r w:rsidRPr="000D3551">
              <w:rPr>
                <w:rFonts w:ascii="Calibri" w:eastAsia="Times New Roman" w:hAnsi="Calibri" w:cs="Calibri"/>
                <w:b/>
                <w:bCs/>
                <w:color w:val="000000"/>
                <w:sz w:val="22"/>
                <w:szCs w:val="22"/>
                <w:lang w:eastAsia="en-GB"/>
              </w:rPr>
              <w:t>£000s</w:t>
            </w:r>
          </w:p>
        </w:tc>
      </w:tr>
      <w:tr w:rsidR="005806B1" w:rsidRPr="000D3551" w:rsidTr="00F614A9">
        <w:trPr>
          <w:trHeight w:val="300"/>
        </w:trPr>
        <w:tc>
          <w:tcPr>
            <w:tcW w:w="1770" w:type="dxa"/>
            <w:tcBorders>
              <w:top w:val="nil"/>
              <w:left w:val="single" w:sz="8" w:space="0" w:color="auto"/>
              <w:bottom w:val="nil"/>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r w:rsidRPr="000D3551">
              <w:rPr>
                <w:rFonts w:ascii="Calibri" w:eastAsia="Times New Roman" w:hAnsi="Calibri" w:cs="Calibri"/>
                <w:color w:val="000000"/>
                <w:sz w:val="22"/>
                <w:szCs w:val="22"/>
                <w:lang w:eastAsia="en-GB"/>
              </w:rPr>
              <w:t>2013/14</w:t>
            </w:r>
          </w:p>
        </w:tc>
        <w:tc>
          <w:tcPr>
            <w:tcW w:w="180" w:type="dxa"/>
            <w:tcBorders>
              <w:top w:val="nil"/>
              <w:left w:val="nil"/>
              <w:bottom w:val="nil"/>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p>
        </w:tc>
        <w:tc>
          <w:tcPr>
            <w:tcW w:w="180" w:type="dxa"/>
            <w:tcBorders>
              <w:top w:val="nil"/>
              <w:left w:val="nil"/>
              <w:bottom w:val="nil"/>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p>
        </w:tc>
        <w:tc>
          <w:tcPr>
            <w:tcW w:w="1450" w:type="dxa"/>
            <w:tcBorders>
              <w:top w:val="nil"/>
              <w:left w:val="nil"/>
              <w:bottom w:val="nil"/>
              <w:right w:val="single" w:sz="8" w:space="0" w:color="auto"/>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r w:rsidRPr="000D3551">
              <w:rPr>
                <w:rFonts w:ascii="Calibri" w:eastAsia="Times New Roman" w:hAnsi="Calibri" w:cs="Calibri"/>
                <w:color w:val="000000"/>
                <w:sz w:val="22"/>
                <w:szCs w:val="22"/>
                <w:lang w:eastAsia="en-GB"/>
              </w:rPr>
              <w:t>85,581</w:t>
            </w:r>
          </w:p>
        </w:tc>
      </w:tr>
      <w:tr w:rsidR="005806B1" w:rsidRPr="000D3551" w:rsidTr="00F614A9">
        <w:trPr>
          <w:trHeight w:val="300"/>
        </w:trPr>
        <w:tc>
          <w:tcPr>
            <w:tcW w:w="1770" w:type="dxa"/>
            <w:tcBorders>
              <w:top w:val="nil"/>
              <w:left w:val="single" w:sz="8" w:space="0" w:color="auto"/>
              <w:bottom w:val="nil"/>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r w:rsidRPr="000D3551">
              <w:rPr>
                <w:rFonts w:ascii="Calibri" w:eastAsia="Times New Roman" w:hAnsi="Calibri" w:cs="Calibri"/>
                <w:color w:val="000000"/>
                <w:sz w:val="22"/>
                <w:szCs w:val="22"/>
                <w:lang w:eastAsia="en-GB"/>
              </w:rPr>
              <w:t>2014/15</w:t>
            </w:r>
          </w:p>
        </w:tc>
        <w:tc>
          <w:tcPr>
            <w:tcW w:w="180" w:type="dxa"/>
            <w:tcBorders>
              <w:top w:val="nil"/>
              <w:left w:val="nil"/>
              <w:bottom w:val="nil"/>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p>
        </w:tc>
        <w:tc>
          <w:tcPr>
            <w:tcW w:w="180" w:type="dxa"/>
            <w:tcBorders>
              <w:top w:val="nil"/>
              <w:left w:val="nil"/>
              <w:bottom w:val="nil"/>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p>
        </w:tc>
        <w:tc>
          <w:tcPr>
            <w:tcW w:w="1450" w:type="dxa"/>
            <w:tcBorders>
              <w:top w:val="nil"/>
              <w:left w:val="nil"/>
              <w:bottom w:val="nil"/>
              <w:right w:val="single" w:sz="8" w:space="0" w:color="auto"/>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r w:rsidRPr="000D3551">
              <w:rPr>
                <w:rFonts w:ascii="Calibri" w:eastAsia="Times New Roman" w:hAnsi="Calibri" w:cs="Calibri"/>
                <w:color w:val="000000"/>
                <w:sz w:val="22"/>
                <w:szCs w:val="22"/>
                <w:lang w:eastAsia="en-GB"/>
              </w:rPr>
              <w:t>86,669</w:t>
            </w:r>
          </w:p>
        </w:tc>
      </w:tr>
      <w:tr w:rsidR="005806B1" w:rsidRPr="000D3551" w:rsidTr="00F614A9">
        <w:trPr>
          <w:trHeight w:val="300"/>
        </w:trPr>
        <w:tc>
          <w:tcPr>
            <w:tcW w:w="1770" w:type="dxa"/>
            <w:tcBorders>
              <w:top w:val="nil"/>
              <w:left w:val="single" w:sz="8" w:space="0" w:color="auto"/>
              <w:bottom w:val="nil"/>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r w:rsidRPr="000D3551">
              <w:rPr>
                <w:rFonts w:ascii="Calibri" w:eastAsia="Times New Roman" w:hAnsi="Calibri" w:cs="Calibri"/>
                <w:color w:val="000000"/>
                <w:sz w:val="22"/>
                <w:szCs w:val="22"/>
                <w:lang w:eastAsia="en-GB"/>
              </w:rPr>
              <w:t>2015/16</w:t>
            </w:r>
          </w:p>
        </w:tc>
        <w:tc>
          <w:tcPr>
            <w:tcW w:w="180" w:type="dxa"/>
            <w:tcBorders>
              <w:top w:val="nil"/>
              <w:left w:val="nil"/>
              <w:bottom w:val="nil"/>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p>
        </w:tc>
        <w:tc>
          <w:tcPr>
            <w:tcW w:w="180" w:type="dxa"/>
            <w:tcBorders>
              <w:top w:val="nil"/>
              <w:left w:val="nil"/>
              <w:bottom w:val="nil"/>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p>
        </w:tc>
        <w:tc>
          <w:tcPr>
            <w:tcW w:w="1450" w:type="dxa"/>
            <w:tcBorders>
              <w:top w:val="nil"/>
              <w:left w:val="nil"/>
              <w:bottom w:val="nil"/>
              <w:right w:val="single" w:sz="8" w:space="0" w:color="auto"/>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r w:rsidRPr="000D3551">
              <w:rPr>
                <w:rFonts w:ascii="Calibri" w:eastAsia="Times New Roman" w:hAnsi="Calibri" w:cs="Calibri"/>
                <w:color w:val="000000"/>
                <w:sz w:val="22"/>
                <w:szCs w:val="22"/>
                <w:lang w:eastAsia="en-GB"/>
              </w:rPr>
              <w:t>88,488</w:t>
            </w:r>
          </w:p>
        </w:tc>
      </w:tr>
      <w:tr w:rsidR="005806B1" w:rsidRPr="000D3551" w:rsidTr="00F614A9">
        <w:trPr>
          <w:trHeight w:val="315"/>
        </w:trPr>
        <w:tc>
          <w:tcPr>
            <w:tcW w:w="1770" w:type="dxa"/>
            <w:tcBorders>
              <w:top w:val="nil"/>
              <w:left w:val="single" w:sz="8" w:space="0" w:color="auto"/>
              <w:bottom w:val="single" w:sz="8" w:space="0" w:color="auto"/>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r w:rsidRPr="000D3551">
              <w:rPr>
                <w:rFonts w:ascii="Calibri" w:eastAsia="Times New Roman" w:hAnsi="Calibri" w:cs="Calibri"/>
                <w:color w:val="000000"/>
                <w:sz w:val="22"/>
                <w:szCs w:val="22"/>
                <w:lang w:eastAsia="en-GB"/>
              </w:rPr>
              <w:t>2016/17</w:t>
            </w:r>
          </w:p>
        </w:tc>
        <w:tc>
          <w:tcPr>
            <w:tcW w:w="180" w:type="dxa"/>
            <w:tcBorders>
              <w:top w:val="nil"/>
              <w:left w:val="nil"/>
              <w:bottom w:val="single" w:sz="8" w:space="0" w:color="auto"/>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r w:rsidRPr="000D3551">
              <w:rPr>
                <w:rFonts w:ascii="Calibri" w:eastAsia="Times New Roman" w:hAnsi="Calibri" w:cs="Calibri"/>
                <w:color w:val="000000"/>
                <w:sz w:val="22"/>
                <w:szCs w:val="22"/>
                <w:lang w:eastAsia="en-GB"/>
              </w:rPr>
              <w:t> </w:t>
            </w:r>
          </w:p>
        </w:tc>
        <w:tc>
          <w:tcPr>
            <w:tcW w:w="180" w:type="dxa"/>
            <w:tcBorders>
              <w:top w:val="nil"/>
              <w:left w:val="nil"/>
              <w:bottom w:val="single" w:sz="8" w:space="0" w:color="auto"/>
              <w:right w:val="nil"/>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r w:rsidRPr="000D3551">
              <w:rPr>
                <w:rFonts w:ascii="Calibri" w:eastAsia="Times New Roman" w:hAnsi="Calibri" w:cs="Calibri"/>
                <w:color w:val="000000"/>
                <w:sz w:val="22"/>
                <w:szCs w:val="22"/>
                <w:lang w:eastAsia="en-GB"/>
              </w:rPr>
              <w:t> </w:t>
            </w:r>
          </w:p>
        </w:tc>
        <w:tc>
          <w:tcPr>
            <w:tcW w:w="1450" w:type="dxa"/>
            <w:tcBorders>
              <w:top w:val="nil"/>
              <w:left w:val="nil"/>
              <w:bottom w:val="single" w:sz="8" w:space="0" w:color="auto"/>
              <w:right w:val="single" w:sz="8" w:space="0" w:color="auto"/>
            </w:tcBorders>
            <w:shd w:val="clear" w:color="auto" w:fill="auto"/>
            <w:noWrap/>
            <w:vAlign w:val="bottom"/>
            <w:hideMark/>
          </w:tcPr>
          <w:p w:rsidR="005806B1" w:rsidRPr="000D3551" w:rsidRDefault="005806B1" w:rsidP="00F614A9">
            <w:pPr>
              <w:rPr>
                <w:rFonts w:ascii="Calibri" w:eastAsia="Times New Roman" w:hAnsi="Calibri" w:cs="Calibri"/>
                <w:color w:val="000000"/>
                <w:sz w:val="22"/>
                <w:szCs w:val="22"/>
                <w:lang w:eastAsia="en-GB"/>
              </w:rPr>
            </w:pPr>
            <w:r w:rsidRPr="000D3551">
              <w:rPr>
                <w:rFonts w:ascii="Calibri" w:eastAsia="Times New Roman" w:hAnsi="Calibri" w:cs="Calibri"/>
                <w:color w:val="000000"/>
                <w:sz w:val="22"/>
                <w:szCs w:val="22"/>
                <w:lang w:eastAsia="en-GB"/>
              </w:rPr>
              <w:t>89,497</w:t>
            </w:r>
          </w:p>
        </w:tc>
      </w:tr>
    </w:tbl>
    <w:p w:rsidR="005806B1" w:rsidRDefault="005806B1" w:rsidP="002169FF"/>
    <w:p w:rsidR="002169FF" w:rsidRDefault="002169FF" w:rsidP="002169FF"/>
    <w:p w:rsidR="005806B1" w:rsidRDefault="005806B1" w:rsidP="005806B1">
      <w:r>
        <w:t xml:space="preserve">The table above shows our </w:t>
      </w:r>
      <w:r w:rsidR="00302150">
        <w:t>Business R</w:t>
      </w:r>
      <w:r>
        <w:t>ates income has remained resilient despite all the development going on in the City Centre. From October 2017 we can expect to see growth through the new Westgate development. In the latest 2017 draft valuation list (that becomes live on April 1</w:t>
      </w:r>
      <w:r w:rsidRPr="006142FD">
        <w:rPr>
          <w:vertAlign w:val="superscript"/>
        </w:rPr>
        <w:t>st</w:t>
      </w:r>
      <w:r>
        <w:t xml:space="preserve">) we have 22 properties with rateable values of over £1 million totalling £61 million (24% of total rateable value) out of a total of 3,999 properties with a total rateable value of £255 million. </w:t>
      </w:r>
    </w:p>
    <w:p w:rsidR="005806B1" w:rsidRDefault="005806B1" w:rsidP="005806B1"/>
    <w:p w:rsidR="005806B1" w:rsidRPr="00147BC9" w:rsidRDefault="005806B1" w:rsidP="005806B1">
      <w:r>
        <w:t xml:space="preserve">Our second highest assessment is the BMW Motor Vehicle Works in Garsington Road (RV £8.6m). In recent announcements BMW </w:t>
      </w:r>
      <w:r w:rsidR="00D972E0">
        <w:t xml:space="preserve">have </w:t>
      </w:r>
      <w:r w:rsidR="00263212">
        <w:t>are said to be looking at plants in Germany as alternatives to Oxford for the production of the</w:t>
      </w:r>
      <w:r>
        <w:t xml:space="preserve"> new electric Mini</w:t>
      </w:r>
      <w:r w:rsidR="00263212">
        <w:t xml:space="preserve"> amid concerns relating to the possible impact of a hard Brexit</w:t>
      </w:r>
      <w:r>
        <w:t>. Production of this vehicle is due to commence in 2019</w:t>
      </w:r>
      <w:r w:rsidR="00263212">
        <w:t xml:space="preserve"> and a decision will be made in the second half of this year</w:t>
      </w:r>
      <w:r>
        <w:t>. If production is moved away from Oxford the rating assessment could be drastically reduced</w:t>
      </w:r>
      <w:r w:rsidR="00263212">
        <w:t xml:space="preserve"> with the authority dropping to safety net in respect of Business Rates Retention, a loss of around £450k per annum. The knock on effect to the Oxford economy could be significantly worse than this.</w:t>
      </w:r>
      <w:r>
        <w:t xml:space="preserve">     </w:t>
      </w:r>
    </w:p>
    <w:tbl>
      <w:tblPr>
        <w:tblW w:w="3897" w:type="dxa"/>
        <w:tblInd w:w="93" w:type="dxa"/>
        <w:tblLook w:val="04A0" w:firstRow="1" w:lastRow="0" w:firstColumn="1" w:lastColumn="0" w:noHBand="0" w:noVBand="1"/>
      </w:tblPr>
      <w:tblGrid>
        <w:gridCol w:w="1897"/>
        <w:gridCol w:w="222"/>
        <w:gridCol w:w="222"/>
        <w:gridCol w:w="1556"/>
      </w:tblGrid>
      <w:tr w:rsidR="005806B1" w:rsidRPr="00774FE9" w:rsidTr="00F614A9">
        <w:trPr>
          <w:trHeight w:val="300"/>
        </w:trPr>
        <w:tc>
          <w:tcPr>
            <w:tcW w:w="1897" w:type="dxa"/>
            <w:tcBorders>
              <w:top w:val="nil"/>
              <w:left w:val="nil"/>
              <w:bottom w:val="nil"/>
              <w:right w:val="nil"/>
            </w:tcBorders>
            <w:shd w:val="clear" w:color="auto" w:fill="auto"/>
            <w:noWrap/>
            <w:vAlign w:val="bottom"/>
          </w:tcPr>
          <w:p w:rsidR="005806B1" w:rsidRPr="00774FE9" w:rsidRDefault="005806B1" w:rsidP="00F614A9"/>
        </w:tc>
        <w:tc>
          <w:tcPr>
            <w:tcW w:w="222" w:type="dxa"/>
            <w:tcBorders>
              <w:top w:val="nil"/>
              <w:left w:val="nil"/>
              <w:bottom w:val="nil"/>
              <w:right w:val="nil"/>
            </w:tcBorders>
            <w:shd w:val="clear" w:color="auto" w:fill="auto"/>
            <w:noWrap/>
            <w:vAlign w:val="bottom"/>
          </w:tcPr>
          <w:p w:rsidR="005806B1" w:rsidRPr="00774FE9" w:rsidRDefault="005806B1" w:rsidP="00F614A9">
            <w:pPr>
              <w:rPr>
                <w:rFonts w:ascii="Calibri" w:eastAsia="Times New Roman" w:hAnsi="Calibri" w:cs="Calibri"/>
                <w:color w:val="000000"/>
                <w:sz w:val="22"/>
                <w:szCs w:val="22"/>
                <w:lang w:eastAsia="en-GB"/>
              </w:rPr>
            </w:pPr>
          </w:p>
        </w:tc>
        <w:tc>
          <w:tcPr>
            <w:tcW w:w="222" w:type="dxa"/>
            <w:tcBorders>
              <w:top w:val="nil"/>
              <w:left w:val="nil"/>
              <w:bottom w:val="nil"/>
              <w:right w:val="nil"/>
            </w:tcBorders>
            <w:shd w:val="clear" w:color="auto" w:fill="auto"/>
            <w:noWrap/>
            <w:vAlign w:val="bottom"/>
          </w:tcPr>
          <w:p w:rsidR="005806B1" w:rsidRPr="00774FE9" w:rsidRDefault="005806B1" w:rsidP="00F614A9">
            <w:pPr>
              <w:rPr>
                <w:rFonts w:ascii="Calibri" w:eastAsia="Times New Roman" w:hAnsi="Calibri" w:cs="Calibri"/>
                <w:color w:val="000000"/>
                <w:sz w:val="22"/>
                <w:szCs w:val="22"/>
                <w:lang w:eastAsia="en-GB"/>
              </w:rPr>
            </w:pPr>
          </w:p>
        </w:tc>
        <w:tc>
          <w:tcPr>
            <w:tcW w:w="1556" w:type="dxa"/>
            <w:tcBorders>
              <w:top w:val="nil"/>
              <w:left w:val="nil"/>
              <w:bottom w:val="nil"/>
              <w:right w:val="nil"/>
            </w:tcBorders>
            <w:shd w:val="clear" w:color="auto" w:fill="auto"/>
            <w:noWrap/>
            <w:vAlign w:val="bottom"/>
          </w:tcPr>
          <w:p w:rsidR="005806B1" w:rsidRPr="00774FE9" w:rsidRDefault="005806B1" w:rsidP="00F614A9">
            <w:pPr>
              <w:jc w:val="right"/>
              <w:rPr>
                <w:rFonts w:ascii="Calibri" w:eastAsia="Times New Roman" w:hAnsi="Calibri" w:cs="Calibri"/>
                <w:color w:val="000000"/>
                <w:sz w:val="22"/>
                <w:szCs w:val="22"/>
                <w:lang w:eastAsia="en-GB"/>
              </w:rPr>
            </w:pPr>
          </w:p>
        </w:tc>
      </w:tr>
    </w:tbl>
    <w:p w:rsidR="00795268" w:rsidRPr="002A69E6" w:rsidRDefault="00795268" w:rsidP="008D0FF1">
      <w:pPr>
        <w:shd w:val="clear" w:color="auto" w:fill="FFFFFF"/>
        <w:rPr>
          <w:rFonts w:eastAsia="Times New Roman"/>
          <w:b/>
          <w:lang w:eastAsia="en-GB"/>
        </w:rPr>
      </w:pPr>
    </w:p>
    <w:sectPr w:rsidR="00795268" w:rsidRPr="002A69E6">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A10" w:rsidRDefault="001C6A10" w:rsidP="00AE6CF1">
      <w:r>
        <w:separator/>
      </w:r>
    </w:p>
  </w:endnote>
  <w:endnote w:type="continuationSeparator" w:id="0">
    <w:p w:rsidR="001C6A10" w:rsidRDefault="001C6A10" w:rsidP="00AE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989802"/>
      <w:docPartObj>
        <w:docPartGallery w:val="Page Numbers (Bottom of Page)"/>
        <w:docPartUnique/>
      </w:docPartObj>
    </w:sdtPr>
    <w:sdtEndPr>
      <w:rPr>
        <w:noProof/>
      </w:rPr>
    </w:sdtEndPr>
    <w:sdtContent>
      <w:p w:rsidR="00AE6CF1" w:rsidRDefault="00AE6CF1">
        <w:pPr>
          <w:pStyle w:val="Footer"/>
          <w:jc w:val="center"/>
        </w:pPr>
        <w:r>
          <w:fldChar w:fldCharType="begin"/>
        </w:r>
        <w:r>
          <w:instrText xml:space="preserve"> PAGE   \* MERGEFORMAT </w:instrText>
        </w:r>
        <w:r>
          <w:fldChar w:fldCharType="separate"/>
        </w:r>
        <w:r w:rsidR="002B638D">
          <w:rPr>
            <w:noProof/>
          </w:rPr>
          <w:t>1</w:t>
        </w:r>
        <w:r>
          <w:rPr>
            <w:noProof/>
          </w:rPr>
          <w:fldChar w:fldCharType="end"/>
        </w:r>
      </w:p>
    </w:sdtContent>
  </w:sdt>
  <w:p w:rsidR="00AE6CF1" w:rsidRDefault="00AE6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A10" w:rsidRDefault="001C6A10" w:rsidP="00AE6CF1">
      <w:r>
        <w:separator/>
      </w:r>
    </w:p>
  </w:footnote>
  <w:footnote w:type="continuationSeparator" w:id="0">
    <w:p w:rsidR="001C6A10" w:rsidRDefault="001C6A10" w:rsidP="00AE6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1ADB"/>
    <w:multiLevelType w:val="hybridMultilevel"/>
    <w:tmpl w:val="EDF8E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6381478"/>
    <w:multiLevelType w:val="hybridMultilevel"/>
    <w:tmpl w:val="D08C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E61BB2"/>
    <w:multiLevelType w:val="hybridMultilevel"/>
    <w:tmpl w:val="FC60AF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616C54"/>
    <w:multiLevelType w:val="hybridMultilevel"/>
    <w:tmpl w:val="31863B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26BA6DBA"/>
    <w:multiLevelType w:val="hybridMultilevel"/>
    <w:tmpl w:val="EBFA74EE"/>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341D41"/>
    <w:multiLevelType w:val="hybridMultilevel"/>
    <w:tmpl w:val="5CD610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15572"/>
    <w:multiLevelType w:val="hybridMultilevel"/>
    <w:tmpl w:val="722C802E"/>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514EB0"/>
    <w:multiLevelType w:val="hybridMultilevel"/>
    <w:tmpl w:val="FE5469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525E19C0"/>
    <w:multiLevelType w:val="hybridMultilevel"/>
    <w:tmpl w:val="24C28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A495377"/>
    <w:multiLevelType w:val="hybridMultilevel"/>
    <w:tmpl w:val="6F72EC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nsid w:val="76683D93"/>
    <w:multiLevelType w:val="hybridMultilevel"/>
    <w:tmpl w:val="416E6A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793D68A2"/>
    <w:multiLevelType w:val="hybridMultilevel"/>
    <w:tmpl w:val="BF300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ED3CD4"/>
    <w:multiLevelType w:val="hybridMultilevel"/>
    <w:tmpl w:val="7956624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8"/>
  </w:num>
  <w:num w:numId="4">
    <w:abstractNumId w:val="5"/>
  </w:num>
  <w:num w:numId="5">
    <w:abstractNumId w:val="9"/>
  </w:num>
  <w:num w:numId="6">
    <w:abstractNumId w:val="0"/>
  </w:num>
  <w:num w:numId="7">
    <w:abstractNumId w:val="7"/>
  </w:num>
  <w:num w:numId="8">
    <w:abstractNumId w:val="6"/>
  </w:num>
  <w:num w:numId="9">
    <w:abstractNumId w:val="3"/>
  </w:num>
  <w:num w:numId="10">
    <w:abstractNumId w:val="4"/>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D8"/>
    <w:rsid w:val="00004F0E"/>
    <w:rsid w:val="00026272"/>
    <w:rsid w:val="00030205"/>
    <w:rsid w:val="00045943"/>
    <w:rsid w:val="0005447D"/>
    <w:rsid w:val="000811B0"/>
    <w:rsid w:val="000926E9"/>
    <w:rsid w:val="00095C0C"/>
    <w:rsid w:val="000A1CF9"/>
    <w:rsid w:val="000B41DC"/>
    <w:rsid w:val="000B4310"/>
    <w:rsid w:val="000D0210"/>
    <w:rsid w:val="000F113B"/>
    <w:rsid w:val="00103B13"/>
    <w:rsid w:val="00111E7F"/>
    <w:rsid w:val="00115A64"/>
    <w:rsid w:val="0015689E"/>
    <w:rsid w:val="001577C4"/>
    <w:rsid w:val="00162EB3"/>
    <w:rsid w:val="00163EBB"/>
    <w:rsid w:val="00163F96"/>
    <w:rsid w:val="00185975"/>
    <w:rsid w:val="001A5176"/>
    <w:rsid w:val="001C3788"/>
    <w:rsid w:val="001C6A10"/>
    <w:rsid w:val="001D6423"/>
    <w:rsid w:val="00203DEC"/>
    <w:rsid w:val="0020494C"/>
    <w:rsid w:val="00205FDC"/>
    <w:rsid w:val="002169FF"/>
    <w:rsid w:val="0023434A"/>
    <w:rsid w:val="00236E06"/>
    <w:rsid w:val="002374D5"/>
    <w:rsid w:val="00243DEF"/>
    <w:rsid w:val="00256CDF"/>
    <w:rsid w:val="00257D66"/>
    <w:rsid w:val="00263212"/>
    <w:rsid w:val="00270A6E"/>
    <w:rsid w:val="002749AF"/>
    <w:rsid w:val="0028625B"/>
    <w:rsid w:val="00290CD7"/>
    <w:rsid w:val="00291F9D"/>
    <w:rsid w:val="002A1511"/>
    <w:rsid w:val="002A69E6"/>
    <w:rsid w:val="002B638D"/>
    <w:rsid w:val="002C15F1"/>
    <w:rsid w:val="002C3BC9"/>
    <w:rsid w:val="002D4582"/>
    <w:rsid w:val="002E78CD"/>
    <w:rsid w:val="002F634F"/>
    <w:rsid w:val="002F782D"/>
    <w:rsid w:val="00302150"/>
    <w:rsid w:val="003122A9"/>
    <w:rsid w:val="00315545"/>
    <w:rsid w:val="00340D1E"/>
    <w:rsid w:val="00344E78"/>
    <w:rsid w:val="00373F9A"/>
    <w:rsid w:val="00375D8E"/>
    <w:rsid w:val="00376B69"/>
    <w:rsid w:val="00380E5B"/>
    <w:rsid w:val="0038661E"/>
    <w:rsid w:val="003A194D"/>
    <w:rsid w:val="003A54E0"/>
    <w:rsid w:val="003F0FD4"/>
    <w:rsid w:val="003F7EDF"/>
    <w:rsid w:val="004000D7"/>
    <w:rsid w:val="0040281F"/>
    <w:rsid w:val="00407EE6"/>
    <w:rsid w:val="004104C3"/>
    <w:rsid w:val="004269F4"/>
    <w:rsid w:val="0045302D"/>
    <w:rsid w:val="00455959"/>
    <w:rsid w:val="00457F89"/>
    <w:rsid w:val="00482B43"/>
    <w:rsid w:val="004834FA"/>
    <w:rsid w:val="00493D06"/>
    <w:rsid w:val="004A115F"/>
    <w:rsid w:val="004B5044"/>
    <w:rsid w:val="004B6F12"/>
    <w:rsid w:val="004D0124"/>
    <w:rsid w:val="004D4926"/>
    <w:rsid w:val="004D544D"/>
    <w:rsid w:val="004D5DD8"/>
    <w:rsid w:val="004D664A"/>
    <w:rsid w:val="00504E43"/>
    <w:rsid w:val="005104DF"/>
    <w:rsid w:val="00513B82"/>
    <w:rsid w:val="0052050E"/>
    <w:rsid w:val="00530524"/>
    <w:rsid w:val="0053517E"/>
    <w:rsid w:val="00557C24"/>
    <w:rsid w:val="005719BA"/>
    <w:rsid w:val="005806B1"/>
    <w:rsid w:val="00582293"/>
    <w:rsid w:val="005953AC"/>
    <w:rsid w:val="00597E6B"/>
    <w:rsid w:val="005A1923"/>
    <w:rsid w:val="005A5C00"/>
    <w:rsid w:val="005B1D31"/>
    <w:rsid w:val="005B68AC"/>
    <w:rsid w:val="005C0C72"/>
    <w:rsid w:val="005C3900"/>
    <w:rsid w:val="005C54A1"/>
    <w:rsid w:val="005D54E5"/>
    <w:rsid w:val="005E12AD"/>
    <w:rsid w:val="005F17BF"/>
    <w:rsid w:val="00613DBB"/>
    <w:rsid w:val="00621396"/>
    <w:rsid w:val="006472A3"/>
    <w:rsid w:val="0064755B"/>
    <w:rsid w:val="00666727"/>
    <w:rsid w:val="00695B2B"/>
    <w:rsid w:val="006A2789"/>
    <w:rsid w:val="006C13C3"/>
    <w:rsid w:val="006C3B43"/>
    <w:rsid w:val="006D07A8"/>
    <w:rsid w:val="006D33D4"/>
    <w:rsid w:val="006D5102"/>
    <w:rsid w:val="006F0726"/>
    <w:rsid w:val="0070292D"/>
    <w:rsid w:val="00726795"/>
    <w:rsid w:val="007453F9"/>
    <w:rsid w:val="00750562"/>
    <w:rsid w:val="00761940"/>
    <w:rsid w:val="0077345C"/>
    <w:rsid w:val="0078356B"/>
    <w:rsid w:val="00784FCD"/>
    <w:rsid w:val="007908F4"/>
    <w:rsid w:val="00795268"/>
    <w:rsid w:val="007952F3"/>
    <w:rsid w:val="007B455C"/>
    <w:rsid w:val="007B4E18"/>
    <w:rsid w:val="007B783D"/>
    <w:rsid w:val="008055E8"/>
    <w:rsid w:val="0081023C"/>
    <w:rsid w:val="00816C9F"/>
    <w:rsid w:val="00830638"/>
    <w:rsid w:val="00856383"/>
    <w:rsid w:val="00866D65"/>
    <w:rsid w:val="00867347"/>
    <w:rsid w:val="00867DC5"/>
    <w:rsid w:val="008902F3"/>
    <w:rsid w:val="008A22C6"/>
    <w:rsid w:val="008A560C"/>
    <w:rsid w:val="008A59DD"/>
    <w:rsid w:val="008C2216"/>
    <w:rsid w:val="008C2901"/>
    <w:rsid w:val="008D0FF1"/>
    <w:rsid w:val="008E3F37"/>
    <w:rsid w:val="008F6702"/>
    <w:rsid w:val="00902DDA"/>
    <w:rsid w:val="00912998"/>
    <w:rsid w:val="0096290D"/>
    <w:rsid w:val="00966207"/>
    <w:rsid w:val="009761C3"/>
    <w:rsid w:val="009A32DF"/>
    <w:rsid w:val="009A5748"/>
    <w:rsid w:val="009A66CD"/>
    <w:rsid w:val="009B2809"/>
    <w:rsid w:val="009C546D"/>
    <w:rsid w:val="009D0DE7"/>
    <w:rsid w:val="009E63F5"/>
    <w:rsid w:val="00A26786"/>
    <w:rsid w:val="00A37A68"/>
    <w:rsid w:val="00A42A57"/>
    <w:rsid w:val="00A4777C"/>
    <w:rsid w:val="00A53C7C"/>
    <w:rsid w:val="00A97E8B"/>
    <w:rsid w:val="00AB0FD1"/>
    <w:rsid w:val="00AC00EE"/>
    <w:rsid w:val="00AC38AC"/>
    <w:rsid w:val="00AC6B0F"/>
    <w:rsid w:val="00AC722C"/>
    <w:rsid w:val="00AE1169"/>
    <w:rsid w:val="00AE1C6E"/>
    <w:rsid w:val="00AE6CF1"/>
    <w:rsid w:val="00B00404"/>
    <w:rsid w:val="00B06A1D"/>
    <w:rsid w:val="00B63B1C"/>
    <w:rsid w:val="00BA4609"/>
    <w:rsid w:val="00BB1D91"/>
    <w:rsid w:val="00BB349F"/>
    <w:rsid w:val="00BD2AF7"/>
    <w:rsid w:val="00BE10FB"/>
    <w:rsid w:val="00C05DA5"/>
    <w:rsid w:val="00C06858"/>
    <w:rsid w:val="00C07F80"/>
    <w:rsid w:val="00C23C5D"/>
    <w:rsid w:val="00C313F1"/>
    <w:rsid w:val="00C71ABA"/>
    <w:rsid w:val="00C74869"/>
    <w:rsid w:val="00C8043E"/>
    <w:rsid w:val="00C86F99"/>
    <w:rsid w:val="00CB6E89"/>
    <w:rsid w:val="00CD1963"/>
    <w:rsid w:val="00CE661D"/>
    <w:rsid w:val="00D009D3"/>
    <w:rsid w:val="00D16F06"/>
    <w:rsid w:val="00D353DF"/>
    <w:rsid w:val="00D410E6"/>
    <w:rsid w:val="00D44FB4"/>
    <w:rsid w:val="00D50672"/>
    <w:rsid w:val="00D633AF"/>
    <w:rsid w:val="00D66FB5"/>
    <w:rsid w:val="00D73928"/>
    <w:rsid w:val="00D972E0"/>
    <w:rsid w:val="00DA5C05"/>
    <w:rsid w:val="00DB50DC"/>
    <w:rsid w:val="00DC651B"/>
    <w:rsid w:val="00DE454A"/>
    <w:rsid w:val="00E00B7F"/>
    <w:rsid w:val="00E07377"/>
    <w:rsid w:val="00E40C82"/>
    <w:rsid w:val="00E421B9"/>
    <w:rsid w:val="00E517D2"/>
    <w:rsid w:val="00E5242E"/>
    <w:rsid w:val="00E55041"/>
    <w:rsid w:val="00E645E1"/>
    <w:rsid w:val="00E753CD"/>
    <w:rsid w:val="00E803DA"/>
    <w:rsid w:val="00E8665F"/>
    <w:rsid w:val="00EA1963"/>
    <w:rsid w:val="00EB1FEC"/>
    <w:rsid w:val="00EB7D75"/>
    <w:rsid w:val="00ED1443"/>
    <w:rsid w:val="00EE6443"/>
    <w:rsid w:val="00EE7667"/>
    <w:rsid w:val="00F0192C"/>
    <w:rsid w:val="00F05D04"/>
    <w:rsid w:val="00F10AFE"/>
    <w:rsid w:val="00F20D68"/>
    <w:rsid w:val="00F266AC"/>
    <w:rsid w:val="00F4140E"/>
    <w:rsid w:val="00F4319D"/>
    <w:rsid w:val="00F435C7"/>
    <w:rsid w:val="00F561EC"/>
    <w:rsid w:val="00F56D9F"/>
    <w:rsid w:val="00F578FA"/>
    <w:rsid w:val="00F751BC"/>
    <w:rsid w:val="00F83A02"/>
    <w:rsid w:val="00F966B6"/>
    <w:rsid w:val="00FB569A"/>
    <w:rsid w:val="00FD3A85"/>
    <w:rsid w:val="00FE7128"/>
    <w:rsid w:val="00FF1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E5B"/>
    <w:rPr>
      <w:rFonts w:ascii="Tahoma" w:hAnsi="Tahoma" w:cs="Tahoma"/>
      <w:sz w:val="16"/>
      <w:szCs w:val="16"/>
    </w:rPr>
  </w:style>
  <w:style w:type="character" w:customStyle="1" w:styleId="BalloonTextChar">
    <w:name w:val="Balloon Text Char"/>
    <w:basedOn w:val="DefaultParagraphFont"/>
    <w:link w:val="BalloonText"/>
    <w:uiPriority w:val="99"/>
    <w:semiHidden/>
    <w:rsid w:val="00380E5B"/>
    <w:rPr>
      <w:rFonts w:ascii="Tahoma" w:hAnsi="Tahoma" w:cs="Tahoma"/>
      <w:sz w:val="16"/>
      <w:szCs w:val="16"/>
    </w:rPr>
  </w:style>
  <w:style w:type="character" w:customStyle="1" w:styleId="mfirst-letter">
    <w:name w:val="m_first-letter"/>
    <w:basedOn w:val="DefaultParagraphFont"/>
    <w:rsid w:val="004D0124"/>
  </w:style>
  <w:style w:type="paragraph" w:styleId="ListParagraph">
    <w:name w:val="List Paragraph"/>
    <w:basedOn w:val="Normal"/>
    <w:uiPriority w:val="34"/>
    <w:qFormat/>
    <w:rsid w:val="00115A64"/>
    <w:pPr>
      <w:ind w:left="720"/>
      <w:contextualSpacing/>
    </w:pPr>
  </w:style>
  <w:style w:type="character" w:styleId="CommentReference">
    <w:name w:val="annotation reference"/>
    <w:basedOn w:val="DefaultParagraphFont"/>
    <w:uiPriority w:val="99"/>
    <w:semiHidden/>
    <w:unhideWhenUsed/>
    <w:rsid w:val="00DE454A"/>
    <w:rPr>
      <w:sz w:val="16"/>
      <w:szCs w:val="16"/>
    </w:rPr>
  </w:style>
  <w:style w:type="paragraph" w:styleId="CommentText">
    <w:name w:val="annotation text"/>
    <w:basedOn w:val="Normal"/>
    <w:link w:val="CommentTextChar"/>
    <w:uiPriority w:val="99"/>
    <w:semiHidden/>
    <w:unhideWhenUsed/>
    <w:rsid w:val="00DE454A"/>
    <w:rPr>
      <w:sz w:val="20"/>
      <w:szCs w:val="20"/>
    </w:rPr>
  </w:style>
  <w:style w:type="character" w:customStyle="1" w:styleId="CommentTextChar">
    <w:name w:val="Comment Text Char"/>
    <w:basedOn w:val="DefaultParagraphFont"/>
    <w:link w:val="CommentText"/>
    <w:uiPriority w:val="99"/>
    <w:semiHidden/>
    <w:rsid w:val="00DE454A"/>
    <w:rPr>
      <w:sz w:val="20"/>
      <w:szCs w:val="20"/>
    </w:rPr>
  </w:style>
  <w:style w:type="paragraph" w:styleId="CommentSubject">
    <w:name w:val="annotation subject"/>
    <w:basedOn w:val="CommentText"/>
    <w:next w:val="CommentText"/>
    <w:link w:val="CommentSubjectChar"/>
    <w:uiPriority w:val="99"/>
    <w:semiHidden/>
    <w:unhideWhenUsed/>
    <w:rsid w:val="00DE454A"/>
    <w:rPr>
      <w:b/>
      <w:bCs/>
    </w:rPr>
  </w:style>
  <w:style w:type="character" w:customStyle="1" w:styleId="CommentSubjectChar">
    <w:name w:val="Comment Subject Char"/>
    <w:basedOn w:val="CommentTextChar"/>
    <w:link w:val="CommentSubject"/>
    <w:uiPriority w:val="99"/>
    <w:semiHidden/>
    <w:rsid w:val="00DE454A"/>
    <w:rPr>
      <w:b/>
      <w:bCs/>
      <w:sz w:val="20"/>
      <w:szCs w:val="20"/>
    </w:rPr>
  </w:style>
  <w:style w:type="table" w:styleId="TableGrid">
    <w:name w:val="Table Grid"/>
    <w:basedOn w:val="TableNormal"/>
    <w:uiPriority w:val="59"/>
    <w:rsid w:val="00A37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8356B"/>
    <w:pPr>
      <w:autoSpaceDE w:val="0"/>
      <w:autoSpaceDN w:val="0"/>
    </w:pPr>
    <w:rPr>
      <w:color w:val="000000"/>
    </w:rPr>
  </w:style>
  <w:style w:type="paragraph" w:styleId="Header">
    <w:name w:val="header"/>
    <w:basedOn w:val="Normal"/>
    <w:link w:val="HeaderChar"/>
    <w:uiPriority w:val="99"/>
    <w:unhideWhenUsed/>
    <w:rsid w:val="00AE6CF1"/>
    <w:pPr>
      <w:tabs>
        <w:tab w:val="center" w:pos="4513"/>
        <w:tab w:val="right" w:pos="9026"/>
      </w:tabs>
    </w:pPr>
  </w:style>
  <w:style w:type="character" w:customStyle="1" w:styleId="HeaderChar">
    <w:name w:val="Header Char"/>
    <w:basedOn w:val="DefaultParagraphFont"/>
    <w:link w:val="Header"/>
    <w:uiPriority w:val="99"/>
    <w:rsid w:val="00AE6CF1"/>
  </w:style>
  <w:style w:type="paragraph" w:styleId="Footer">
    <w:name w:val="footer"/>
    <w:basedOn w:val="Normal"/>
    <w:link w:val="FooterChar"/>
    <w:uiPriority w:val="99"/>
    <w:unhideWhenUsed/>
    <w:rsid w:val="00AE6CF1"/>
    <w:pPr>
      <w:tabs>
        <w:tab w:val="center" w:pos="4513"/>
        <w:tab w:val="right" w:pos="9026"/>
      </w:tabs>
    </w:pPr>
  </w:style>
  <w:style w:type="character" w:customStyle="1" w:styleId="FooterChar">
    <w:name w:val="Footer Char"/>
    <w:basedOn w:val="DefaultParagraphFont"/>
    <w:link w:val="Footer"/>
    <w:uiPriority w:val="99"/>
    <w:rsid w:val="00AE6CF1"/>
  </w:style>
  <w:style w:type="paragraph" w:styleId="NoSpacing">
    <w:name w:val="No Spacing"/>
    <w:uiPriority w:val="1"/>
    <w:qFormat/>
    <w:rsid w:val="00302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E5B"/>
    <w:rPr>
      <w:rFonts w:ascii="Tahoma" w:hAnsi="Tahoma" w:cs="Tahoma"/>
      <w:sz w:val="16"/>
      <w:szCs w:val="16"/>
    </w:rPr>
  </w:style>
  <w:style w:type="character" w:customStyle="1" w:styleId="BalloonTextChar">
    <w:name w:val="Balloon Text Char"/>
    <w:basedOn w:val="DefaultParagraphFont"/>
    <w:link w:val="BalloonText"/>
    <w:uiPriority w:val="99"/>
    <w:semiHidden/>
    <w:rsid w:val="00380E5B"/>
    <w:rPr>
      <w:rFonts w:ascii="Tahoma" w:hAnsi="Tahoma" w:cs="Tahoma"/>
      <w:sz w:val="16"/>
      <w:szCs w:val="16"/>
    </w:rPr>
  </w:style>
  <w:style w:type="character" w:customStyle="1" w:styleId="mfirst-letter">
    <w:name w:val="m_first-letter"/>
    <w:basedOn w:val="DefaultParagraphFont"/>
    <w:rsid w:val="004D0124"/>
  </w:style>
  <w:style w:type="paragraph" w:styleId="ListParagraph">
    <w:name w:val="List Paragraph"/>
    <w:basedOn w:val="Normal"/>
    <w:uiPriority w:val="34"/>
    <w:qFormat/>
    <w:rsid w:val="00115A64"/>
    <w:pPr>
      <w:ind w:left="720"/>
      <w:contextualSpacing/>
    </w:pPr>
  </w:style>
  <w:style w:type="character" w:styleId="CommentReference">
    <w:name w:val="annotation reference"/>
    <w:basedOn w:val="DefaultParagraphFont"/>
    <w:uiPriority w:val="99"/>
    <w:semiHidden/>
    <w:unhideWhenUsed/>
    <w:rsid w:val="00DE454A"/>
    <w:rPr>
      <w:sz w:val="16"/>
      <w:szCs w:val="16"/>
    </w:rPr>
  </w:style>
  <w:style w:type="paragraph" w:styleId="CommentText">
    <w:name w:val="annotation text"/>
    <w:basedOn w:val="Normal"/>
    <w:link w:val="CommentTextChar"/>
    <w:uiPriority w:val="99"/>
    <w:semiHidden/>
    <w:unhideWhenUsed/>
    <w:rsid w:val="00DE454A"/>
    <w:rPr>
      <w:sz w:val="20"/>
      <w:szCs w:val="20"/>
    </w:rPr>
  </w:style>
  <w:style w:type="character" w:customStyle="1" w:styleId="CommentTextChar">
    <w:name w:val="Comment Text Char"/>
    <w:basedOn w:val="DefaultParagraphFont"/>
    <w:link w:val="CommentText"/>
    <w:uiPriority w:val="99"/>
    <w:semiHidden/>
    <w:rsid w:val="00DE454A"/>
    <w:rPr>
      <w:sz w:val="20"/>
      <w:szCs w:val="20"/>
    </w:rPr>
  </w:style>
  <w:style w:type="paragraph" w:styleId="CommentSubject">
    <w:name w:val="annotation subject"/>
    <w:basedOn w:val="CommentText"/>
    <w:next w:val="CommentText"/>
    <w:link w:val="CommentSubjectChar"/>
    <w:uiPriority w:val="99"/>
    <w:semiHidden/>
    <w:unhideWhenUsed/>
    <w:rsid w:val="00DE454A"/>
    <w:rPr>
      <w:b/>
      <w:bCs/>
    </w:rPr>
  </w:style>
  <w:style w:type="character" w:customStyle="1" w:styleId="CommentSubjectChar">
    <w:name w:val="Comment Subject Char"/>
    <w:basedOn w:val="CommentTextChar"/>
    <w:link w:val="CommentSubject"/>
    <w:uiPriority w:val="99"/>
    <w:semiHidden/>
    <w:rsid w:val="00DE454A"/>
    <w:rPr>
      <w:b/>
      <w:bCs/>
      <w:sz w:val="20"/>
      <w:szCs w:val="20"/>
    </w:rPr>
  </w:style>
  <w:style w:type="table" w:styleId="TableGrid">
    <w:name w:val="Table Grid"/>
    <w:basedOn w:val="TableNormal"/>
    <w:uiPriority w:val="59"/>
    <w:rsid w:val="00A37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8356B"/>
    <w:pPr>
      <w:autoSpaceDE w:val="0"/>
      <w:autoSpaceDN w:val="0"/>
    </w:pPr>
    <w:rPr>
      <w:color w:val="000000"/>
    </w:rPr>
  </w:style>
  <w:style w:type="paragraph" w:styleId="Header">
    <w:name w:val="header"/>
    <w:basedOn w:val="Normal"/>
    <w:link w:val="HeaderChar"/>
    <w:uiPriority w:val="99"/>
    <w:unhideWhenUsed/>
    <w:rsid w:val="00AE6CF1"/>
    <w:pPr>
      <w:tabs>
        <w:tab w:val="center" w:pos="4513"/>
        <w:tab w:val="right" w:pos="9026"/>
      </w:tabs>
    </w:pPr>
  </w:style>
  <w:style w:type="character" w:customStyle="1" w:styleId="HeaderChar">
    <w:name w:val="Header Char"/>
    <w:basedOn w:val="DefaultParagraphFont"/>
    <w:link w:val="Header"/>
    <w:uiPriority w:val="99"/>
    <w:rsid w:val="00AE6CF1"/>
  </w:style>
  <w:style w:type="paragraph" w:styleId="Footer">
    <w:name w:val="footer"/>
    <w:basedOn w:val="Normal"/>
    <w:link w:val="FooterChar"/>
    <w:uiPriority w:val="99"/>
    <w:unhideWhenUsed/>
    <w:rsid w:val="00AE6CF1"/>
    <w:pPr>
      <w:tabs>
        <w:tab w:val="center" w:pos="4513"/>
        <w:tab w:val="right" w:pos="9026"/>
      </w:tabs>
    </w:pPr>
  </w:style>
  <w:style w:type="character" w:customStyle="1" w:styleId="FooterChar">
    <w:name w:val="Footer Char"/>
    <w:basedOn w:val="DefaultParagraphFont"/>
    <w:link w:val="Footer"/>
    <w:uiPriority w:val="99"/>
    <w:rsid w:val="00AE6CF1"/>
  </w:style>
  <w:style w:type="paragraph" w:styleId="NoSpacing">
    <w:name w:val="No Spacing"/>
    <w:uiPriority w:val="1"/>
    <w:qFormat/>
    <w:rsid w:val="00302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026">
      <w:bodyDiv w:val="1"/>
      <w:marLeft w:val="0"/>
      <w:marRight w:val="0"/>
      <w:marTop w:val="0"/>
      <w:marBottom w:val="0"/>
      <w:divBdr>
        <w:top w:val="none" w:sz="0" w:space="0" w:color="auto"/>
        <w:left w:val="none" w:sz="0" w:space="0" w:color="auto"/>
        <w:bottom w:val="none" w:sz="0" w:space="0" w:color="auto"/>
        <w:right w:val="none" w:sz="0" w:space="0" w:color="auto"/>
      </w:divBdr>
      <w:divsChild>
        <w:div w:id="1647204315">
          <w:marLeft w:val="0"/>
          <w:marRight w:val="0"/>
          <w:marTop w:val="0"/>
          <w:marBottom w:val="0"/>
          <w:divBdr>
            <w:top w:val="none" w:sz="0" w:space="0" w:color="auto"/>
            <w:left w:val="none" w:sz="0" w:space="0" w:color="auto"/>
            <w:bottom w:val="none" w:sz="0" w:space="0" w:color="auto"/>
            <w:right w:val="none" w:sz="0" w:space="0" w:color="auto"/>
          </w:divBdr>
          <w:divsChild>
            <w:div w:id="871962751">
              <w:marLeft w:val="0"/>
              <w:marRight w:val="0"/>
              <w:marTop w:val="0"/>
              <w:marBottom w:val="0"/>
              <w:divBdr>
                <w:top w:val="none" w:sz="0" w:space="0" w:color="auto"/>
                <w:left w:val="none" w:sz="0" w:space="0" w:color="auto"/>
                <w:bottom w:val="none" w:sz="0" w:space="0" w:color="auto"/>
                <w:right w:val="none" w:sz="0" w:space="0" w:color="auto"/>
              </w:divBdr>
              <w:divsChild>
                <w:div w:id="512306511">
                  <w:marLeft w:val="0"/>
                  <w:marRight w:val="0"/>
                  <w:marTop w:val="0"/>
                  <w:marBottom w:val="0"/>
                  <w:divBdr>
                    <w:top w:val="none" w:sz="0" w:space="0" w:color="auto"/>
                    <w:left w:val="none" w:sz="0" w:space="0" w:color="auto"/>
                    <w:bottom w:val="none" w:sz="0" w:space="0" w:color="auto"/>
                    <w:right w:val="none" w:sz="0" w:space="0" w:color="auto"/>
                  </w:divBdr>
                  <w:divsChild>
                    <w:div w:id="275259525">
                      <w:marLeft w:val="0"/>
                      <w:marRight w:val="0"/>
                      <w:marTop w:val="0"/>
                      <w:marBottom w:val="0"/>
                      <w:divBdr>
                        <w:top w:val="none" w:sz="0" w:space="0" w:color="auto"/>
                        <w:left w:val="none" w:sz="0" w:space="0" w:color="auto"/>
                        <w:bottom w:val="none" w:sz="0" w:space="0" w:color="auto"/>
                        <w:right w:val="none" w:sz="0" w:space="0" w:color="auto"/>
                      </w:divBdr>
                      <w:divsChild>
                        <w:div w:id="1678850259">
                          <w:marLeft w:val="0"/>
                          <w:marRight w:val="0"/>
                          <w:marTop w:val="0"/>
                          <w:marBottom w:val="0"/>
                          <w:divBdr>
                            <w:top w:val="none" w:sz="0" w:space="0" w:color="auto"/>
                            <w:left w:val="none" w:sz="0" w:space="0" w:color="auto"/>
                            <w:bottom w:val="none" w:sz="0" w:space="0" w:color="auto"/>
                            <w:right w:val="none" w:sz="0" w:space="0" w:color="auto"/>
                          </w:divBdr>
                          <w:divsChild>
                            <w:div w:id="2034257277">
                              <w:marLeft w:val="0"/>
                              <w:marRight w:val="0"/>
                              <w:marTop w:val="0"/>
                              <w:marBottom w:val="0"/>
                              <w:divBdr>
                                <w:top w:val="none" w:sz="0" w:space="0" w:color="auto"/>
                                <w:left w:val="none" w:sz="0" w:space="0" w:color="auto"/>
                                <w:bottom w:val="none" w:sz="0" w:space="0" w:color="auto"/>
                                <w:right w:val="none" w:sz="0" w:space="0" w:color="auto"/>
                              </w:divBdr>
                              <w:divsChild>
                                <w:div w:id="146437375">
                                  <w:marLeft w:val="0"/>
                                  <w:marRight w:val="0"/>
                                  <w:marTop w:val="0"/>
                                  <w:marBottom w:val="0"/>
                                  <w:divBdr>
                                    <w:top w:val="none" w:sz="0" w:space="0" w:color="auto"/>
                                    <w:left w:val="none" w:sz="0" w:space="0" w:color="auto"/>
                                    <w:bottom w:val="none" w:sz="0" w:space="0" w:color="auto"/>
                                    <w:right w:val="none" w:sz="0" w:space="0" w:color="auto"/>
                                  </w:divBdr>
                                  <w:divsChild>
                                    <w:div w:id="7739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698">
      <w:bodyDiv w:val="1"/>
      <w:marLeft w:val="0"/>
      <w:marRight w:val="0"/>
      <w:marTop w:val="0"/>
      <w:marBottom w:val="0"/>
      <w:divBdr>
        <w:top w:val="none" w:sz="0" w:space="0" w:color="auto"/>
        <w:left w:val="none" w:sz="0" w:space="0" w:color="auto"/>
        <w:bottom w:val="none" w:sz="0" w:space="0" w:color="auto"/>
        <w:right w:val="none" w:sz="0" w:space="0" w:color="auto"/>
      </w:divBdr>
    </w:div>
    <w:div w:id="446974389">
      <w:bodyDiv w:val="1"/>
      <w:marLeft w:val="0"/>
      <w:marRight w:val="0"/>
      <w:marTop w:val="0"/>
      <w:marBottom w:val="0"/>
      <w:divBdr>
        <w:top w:val="none" w:sz="0" w:space="0" w:color="auto"/>
        <w:left w:val="none" w:sz="0" w:space="0" w:color="auto"/>
        <w:bottom w:val="none" w:sz="0" w:space="0" w:color="auto"/>
        <w:right w:val="none" w:sz="0" w:space="0" w:color="auto"/>
      </w:divBdr>
      <w:divsChild>
        <w:div w:id="1648051456">
          <w:marLeft w:val="0"/>
          <w:marRight w:val="0"/>
          <w:marTop w:val="0"/>
          <w:marBottom w:val="0"/>
          <w:divBdr>
            <w:top w:val="none" w:sz="0" w:space="0" w:color="auto"/>
            <w:left w:val="none" w:sz="0" w:space="0" w:color="auto"/>
            <w:bottom w:val="none" w:sz="0" w:space="0" w:color="auto"/>
            <w:right w:val="none" w:sz="0" w:space="0" w:color="auto"/>
          </w:divBdr>
          <w:divsChild>
            <w:div w:id="1991251752">
              <w:marLeft w:val="0"/>
              <w:marRight w:val="0"/>
              <w:marTop w:val="0"/>
              <w:marBottom w:val="0"/>
              <w:divBdr>
                <w:top w:val="none" w:sz="0" w:space="0" w:color="auto"/>
                <w:left w:val="none" w:sz="0" w:space="0" w:color="auto"/>
                <w:bottom w:val="none" w:sz="0" w:space="0" w:color="auto"/>
                <w:right w:val="none" w:sz="0" w:space="0" w:color="auto"/>
              </w:divBdr>
              <w:divsChild>
                <w:div w:id="734817604">
                  <w:marLeft w:val="0"/>
                  <w:marRight w:val="0"/>
                  <w:marTop w:val="0"/>
                  <w:marBottom w:val="0"/>
                  <w:divBdr>
                    <w:top w:val="none" w:sz="0" w:space="0" w:color="auto"/>
                    <w:left w:val="none" w:sz="0" w:space="0" w:color="auto"/>
                    <w:bottom w:val="none" w:sz="0" w:space="0" w:color="auto"/>
                    <w:right w:val="none" w:sz="0" w:space="0" w:color="auto"/>
                  </w:divBdr>
                  <w:divsChild>
                    <w:div w:id="1113327801">
                      <w:marLeft w:val="0"/>
                      <w:marRight w:val="0"/>
                      <w:marTop w:val="0"/>
                      <w:marBottom w:val="0"/>
                      <w:divBdr>
                        <w:top w:val="none" w:sz="0" w:space="0" w:color="auto"/>
                        <w:left w:val="none" w:sz="0" w:space="0" w:color="auto"/>
                        <w:bottom w:val="none" w:sz="0" w:space="0" w:color="auto"/>
                        <w:right w:val="none" w:sz="0" w:space="0" w:color="auto"/>
                      </w:divBdr>
                      <w:divsChild>
                        <w:div w:id="2015960228">
                          <w:marLeft w:val="0"/>
                          <w:marRight w:val="0"/>
                          <w:marTop w:val="0"/>
                          <w:marBottom w:val="0"/>
                          <w:divBdr>
                            <w:top w:val="none" w:sz="0" w:space="0" w:color="auto"/>
                            <w:left w:val="none" w:sz="0" w:space="0" w:color="auto"/>
                            <w:bottom w:val="none" w:sz="0" w:space="0" w:color="auto"/>
                            <w:right w:val="none" w:sz="0" w:space="0" w:color="auto"/>
                          </w:divBdr>
                          <w:divsChild>
                            <w:div w:id="267129600">
                              <w:marLeft w:val="0"/>
                              <w:marRight w:val="0"/>
                              <w:marTop w:val="0"/>
                              <w:marBottom w:val="0"/>
                              <w:divBdr>
                                <w:top w:val="none" w:sz="0" w:space="0" w:color="auto"/>
                                <w:left w:val="none" w:sz="0" w:space="0" w:color="auto"/>
                                <w:bottom w:val="none" w:sz="0" w:space="0" w:color="auto"/>
                                <w:right w:val="none" w:sz="0" w:space="0" w:color="auto"/>
                              </w:divBdr>
                              <w:divsChild>
                                <w:div w:id="807474741">
                                  <w:marLeft w:val="0"/>
                                  <w:marRight w:val="0"/>
                                  <w:marTop w:val="0"/>
                                  <w:marBottom w:val="0"/>
                                  <w:divBdr>
                                    <w:top w:val="none" w:sz="0" w:space="0" w:color="auto"/>
                                    <w:left w:val="none" w:sz="0" w:space="0" w:color="auto"/>
                                    <w:bottom w:val="none" w:sz="0" w:space="0" w:color="auto"/>
                                    <w:right w:val="none" w:sz="0" w:space="0" w:color="auto"/>
                                  </w:divBdr>
                                  <w:divsChild>
                                    <w:div w:id="921571137">
                                      <w:marLeft w:val="0"/>
                                      <w:marRight w:val="0"/>
                                      <w:marTop w:val="0"/>
                                      <w:marBottom w:val="0"/>
                                      <w:divBdr>
                                        <w:top w:val="none" w:sz="0" w:space="0" w:color="auto"/>
                                        <w:left w:val="none" w:sz="0" w:space="0" w:color="auto"/>
                                        <w:bottom w:val="none" w:sz="0" w:space="0" w:color="auto"/>
                                        <w:right w:val="none" w:sz="0" w:space="0" w:color="auto"/>
                                      </w:divBdr>
                                      <w:divsChild>
                                        <w:div w:id="1754744441">
                                          <w:marLeft w:val="0"/>
                                          <w:marRight w:val="0"/>
                                          <w:marTop w:val="0"/>
                                          <w:marBottom w:val="0"/>
                                          <w:divBdr>
                                            <w:top w:val="none" w:sz="0" w:space="0" w:color="auto"/>
                                            <w:left w:val="none" w:sz="0" w:space="0" w:color="auto"/>
                                            <w:bottom w:val="none" w:sz="0" w:space="0" w:color="auto"/>
                                            <w:right w:val="none" w:sz="0" w:space="0" w:color="auto"/>
                                          </w:divBdr>
                                          <w:divsChild>
                                            <w:div w:id="897282636">
                                              <w:marLeft w:val="0"/>
                                              <w:marRight w:val="0"/>
                                              <w:marTop w:val="0"/>
                                              <w:marBottom w:val="0"/>
                                              <w:divBdr>
                                                <w:top w:val="none" w:sz="0" w:space="0" w:color="auto"/>
                                                <w:left w:val="none" w:sz="0" w:space="0" w:color="auto"/>
                                                <w:bottom w:val="none" w:sz="0" w:space="0" w:color="auto"/>
                                                <w:right w:val="none" w:sz="0" w:space="0" w:color="auto"/>
                                              </w:divBdr>
                                              <w:divsChild>
                                                <w:div w:id="1101024293">
                                                  <w:marLeft w:val="0"/>
                                                  <w:marRight w:val="0"/>
                                                  <w:marTop w:val="0"/>
                                                  <w:marBottom w:val="0"/>
                                                  <w:divBdr>
                                                    <w:top w:val="none" w:sz="0" w:space="0" w:color="auto"/>
                                                    <w:left w:val="none" w:sz="0" w:space="0" w:color="auto"/>
                                                    <w:bottom w:val="none" w:sz="0" w:space="0" w:color="auto"/>
                                                    <w:right w:val="none" w:sz="0" w:space="0" w:color="auto"/>
                                                  </w:divBdr>
                                                  <w:divsChild>
                                                    <w:div w:id="10339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871853">
      <w:bodyDiv w:val="1"/>
      <w:marLeft w:val="0"/>
      <w:marRight w:val="0"/>
      <w:marTop w:val="0"/>
      <w:marBottom w:val="0"/>
      <w:divBdr>
        <w:top w:val="none" w:sz="0" w:space="0" w:color="auto"/>
        <w:left w:val="none" w:sz="0" w:space="0" w:color="auto"/>
        <w:bottom w:val="none" w:sz="0" w:space="0" w:color="auto"/>
        <w:right w:val="none" w:sz="0" w:space="0" w:color="auto"/>
      </w:divBdr>
      <w:divsChild>
        <w:div w:id="1281952366">
          <w:marLeft w:val="0"/>
          <w:marRight w:val="0"/>
          <w:marTop w:val="0"/>
          <w:marBottom w:val="0"/>
          <w:divBdr>
            <w:top w:val="none" w:sz="0" w:space="0" w:color="auto"/>
            <w:left w:val="none" w:sz="0" w:space="0" w:color="auto"/>
            <w:bottom w:val="none" w:sz="0" w:space="0" w:color="auto"/>
            <w:right w:val="none" w:sz="0" w:space="0" w:color="auto"/>
          </w:divBdr>
          <w:divsChild>
            <w:div w:id="1563953041">
              <w:marLeft w:val="0"/>
              <w:marRight w:val="0"/>
              <w:marTop w:val="0"/>
              <w:marBottom w:val="0"/>
              <w:divBdr>
                <w:top w:val="none" w:sz="0" w:space="0" w:color="auto"/>
                <w:left w:val="none" w:sz="0" w:space="0" w:color="auto"/>
                <w:bottom w:val="none" w:sz="0" w:space="0" w:color="auto"/>
                <w:right w:val="none" w:sz="0" w:space="0" w:color="auto"/>
              </w:divBdr>
              <w:divsChild>
                <w:div w:id="1918244034">
                  <w:marLeft w:val="0"/>
                  <w:marRight w:val="0"/>
                  <w:marTop w:val="0"/>
                  <w:marBottom w:val="0"/>
                  <w:divBdr>
                    <w:top w:val="none" w:sz="0" w:space="0" w:color="auto"/>
                    <w:left w:val="none" w:sz="0" w:space="0" w:color="auto"/>
                    <w:bottom w:val="none" w:sz="0" w:space="0" w:color="auto"/>
                    <w:right w:val="none" w:sz="0" w:space="0" w:color="auto"/>
                  </w:divBdr>
                  <w:divsChild>
                    <w:div w:id="87971162">
                      <w:marLeft w:val="0"/>
                      <w:marRight w:val="0"/>
                      <w:marTop w:val="0"/>
                      <w:marBottom w:val="0"/>
                      <w:divBdr>
                        <w:top w:val="none" w:sz="0" w:space="0" w:color="auto"/>
                        <w:left w:val="none" w:sz="0" w:space="0" w:color="auto"/>
                        <w:bottom w:val="none" w:sz="0" w:space="0" w:color="auto"/>
                        <w:right w:val="none" w:sz="0" w:space="0" w:color="auto"/>
                      </w:divBdr>
                      <w:divsChild>
                        <w:div w:id="1236010058">
                          <w:marLeft w:val="0"/>
                          <w:marRight w:val="0"/>
                          <w:marTop w:val="0"/>
                          <w:marBottom w:val="0"/>
                          <w:divBdr>
                            <w:top w:val="none" w:sz="0" w:space="0" w:color="auto"/>
                            <w:left w:val="none" w:sz="0" w:space="0" w:color="auto"/>
                            <w:bottom w:val="none" w:sz="0" w:space="0" w:color="auto"/>
                            <w:right w:val="none" w:sz="0" w:space="0" w:color="auto"/>
                          </w:divBdr>
                          <w:divsChild>
                            <w:div w:id="70280047">
                              <w:marLeft w:val="0"/>
                              <w:marRight w:val="0"/>
                              <w:marTop w:val="0"/>
                              <w:marBottom w:val="0"/>
                              <w:divBdr>
                                <w:top w:val="none" w:sz="0" w:space="0" w:color="auto"/>
                                <w:left w:val="none" w:sz="0" w:space="0" w:color="auto"/>
                                <w:bottom w:val="none" w:sz="0" w:space="0" w:color="auto"/>
                                <w:right w:val="none" w:sz="0" w:space="0" w:color="auto"/>
                              </w:divBdr>
                              <w:divsChild>
                                <w:div w:id="2057193971">
                                  <w:marLeft w:val="0"/>
                                  <w:marRight w:val="0"/>
                                  <w:marTop w:val="0"/>
                                  <w:marBottom w:val="0"/>
                                  <w:divBdr>
                                    <w:top w:val="none" w:sz="0" w:space="0" w:color="auto"/>
                                    <w:left w:val="none" w:sz="0" w:space="0" w:color="auto"/>
                                    <w:bottom w:val="none" w:sz="0" w:space="0" w:color="auto"/>
                                    <w:right w:val="none" w:sz="0" w:space="0" w:color="auto"/>
                                  </w:divBdr>
                                  <w:divsChild>
                                    <w:div w:id="1990209305">
                                      <w:marLeft w:val="0"/>
                                      <w:marRight w:val="0"/>
                                      <w:marTop w:val="0"/>
                                      <w:marBottom w:val="0"/>
                                      <w:divBdr>
                                        <w:top w:val="none" w:sz="0" w:space="0" w:color="auto"/>
                                        <w:left w:val="none" w:sz="0" w:space="0" w:color="auto"/>
                                        <w:bottom w:val="none" w:sz="0" w:space="0" w:color="auto"/>
                                        <w:right w:val="none" w:sz="0" w:space="0" w:color="auto"/>
                                      </w:divBdr>
                                      <w:divsChild>
                                        <w:div w:id="1009334032">
                                          <w:marLeft w:val="0"/>
                                          <w:marRight w:val="0"/>
                                          <w:marTop w:val="0"/>
                                          <w:marBottom w:val="0"/>
                                          <w:divBdr>
                                            <w:top w:val="none" w:sz="0" w:space="0" w:color="auto"/>
                                            <w:left w:val="none" w:sz="0" w:space="0" w:color="auto"/>
                                            <w:bottom w:val="none" w:sz="0" w:space="0" w:color="auto"/>
                                            <w:right w:val="none" w:sz="0" w:space="0" w:color="auto"/>
                                          </w:divBdr>
                                          <w:divsChild>
                                            <w:div w:id="3303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014852">
      <w:bodyDiv w:val="1"/>
      <w:marLeft w:val="0"/>
      <w:marRight w:val="0"/>
      <w:marTop w:val="0"/>
      <w:marBottom w:val="0"/>
      <w:divBdr>
        <w:top w:val="none" w:sz="0" w:space="0" w:color="auto"/>
        <w:left w:val="none" w:sz="0" w:space="0" w:color="auto"/>
        <w:bottom w:val="none" w:sz="0" w:space="0" w:color="auto"/>
        <w:right w:val="none" w:sz="0" w:space="0" w:color="auto"/>
      </w:divBdr>
    </w:div>
    <w:div w:id="643972700">
      <w:bodyDiv w:val="1"/>
      <w:marLeft w:val="0"/>
      <w:marRight w:val="0"/>
      <w:marTop w:val="0"/>
      <w:marBottom w:val="0"/>
      <w:divBdr>
        <w:top w:val="none" w:sz="0" w:space="0" w:color="auto"/>
        <w:left w:val="none" w:sz="0" w:space="0" w:color="auto"/>
        <w:bottom w:val="none" w:sz="0" w:space="0" w:color="auto"/>
        <w:right w:val="none" w:sz="0" w:space="0" w:color="auto"/>
      </w:divBdr>
      <w:divsChild>
        <w:div w:id="814950500">
          <w:marLeft w:val="0"/>
          <w:marRight w:val="0"/>
          <w:marTop w:val="0"/>
          <w:marBottom w:val="0"/>
          <w:divBdr>
            <w:top w:val="none" w:sz="0" w:space="0" w:color="auto"/>
            <w:left w:val="none" w:sz="0" w:space="0" w:color="auto"/>
            <w:bottom w:val="none" w:sz="0" w:space="0" w:color="auto"/>
            <w:right w:val="none" w:sz="0" w:space="0" w:color="auto"/>
          </w:divBdr>
          <w:divsChild>
            <w:div w:id="1559978469">
              <w:marLeft w:val="0"/>
              <w:marRight w:val="0"/>
              <w:marTop w:val="0"/>
              <w:marBottom w:val="0"/>
              <w:divBdr>
                <w:top w:val="none" w:sz="0" w:space="0" w:color="auto"/>
                <w:left w:val="none" w:sz="0" w:space="0" w:color="auto"/>
                <w:bottom w:val="none" w:sz="0" w:space="0" w:color="auto"/>
                <w:right w:val="none" w:sz="0" w:space="0" w:color="auto"/>
              </w:divBdr>
              <w:divsChild>
                <w:div w:id="2095079253">
                  <w:marLeft w:val="0"/>
                  <w:marRight w:val="0"/>
                  <w:marTop w:val="0"/>
                  <w:marBottom w:val="0"/>
                  <w:divBdr>
                    <w:top w:val="none" w:sz="0" w:space="0" w:color="auto"/>
                    <w:left w:val="none" w:sz="0" w:space="0" w:color="auto"/>
                    <w:bottom w:val="none" w:sz="0" w:space="0" w:color="auto"/>
                    <w:right w:val="none" w:sz="0" w:space="0" w:color="auto"/>
                  </w:divBdr>
                  <w:divsChild>
                    <w:div w:id="982737320">
                      <w:marLeft w:val="0"/>
                      <w:marRight w:val="0"/>
                      <w:marTop w:val="0"/>
                      <w:marBottom w:val="0"/>
                      <w:divBdr>
                        <w:top w:val="none" w:sz="0" w:space="0" w:color="auto"/>
                        <w:left w:val="none" w:sz="0" w:space="0" w:color="auto"/>
                        <w:bottom w:val="none" w:sz="0" w:space="0" w:color="auto"/>
                        <w:right w:val="none" w:sz="0" w:space="0" w:color="auto"/>
                      </w:divBdr>
                      <w:divsChild>
                        <w:div w:id="1505513245">
                          <w:marLeft w:val="0"/>
                          <w:marRight w:val="0"/>
                          <w:marTop w:val="0"/>
                          <w:marBottom w:val="0"/>
                          <w:divBdr>
                            <w:top w:val="none" w:sz="0" w:space="0" w:color="auto"/>
                            <w:left w:val="none" w:sz="0" w:space="0" w:color="auto"/>
                            <w:bottom w:val="none" w:sz="0" w:space="0" w:color="auto"/>
                            <w:right w:val="none" w:sz="0" w:space="0" w:color="auto"/>
                          </w:divBdr>
                          <w:divsChild>
                            <w:div w:id="1300721794">
                              <w:marLeft w:val="0"/>
                              <w:marRight w:val="0"/>
                              <w:marTop w:val="0"/>
                              <w:marBottom w:val="0"/>
                              <w:divBdr>
                                <w:top w:val="none" w:sz="0" w:space="0" w:color="auto"/>
                                <w:left w:val="none" w:sz="0" w:space="0" w:color="auto"/>
                                <w:bottom w:val="none" w:sz="0" w:space="0" w:color="auto"/>
                                <w:right w:val="none" w:sz="0" w:space="0" w:color="auto"/>
                              </w:divBdr>
                              <w:divsChild>
                                <w:div w:id="920915761">
                                  <w:marLeft w:val="0"/>
                                  <w:marRight w:val="0"/>
                                  <w:marTop w:val="0"/>
                                  <w:marBottom w:val="0"/>
                                  <w:divBdr>
                                    <w:top w:val="none" w:sz="0" w:space="0" w:color="auto"/>
                                    <w:left w:val="none" w:sz="0" w:space="0" w:color="auto"/>
                                    <w:bottom w:val="none" w:sz="0" w:space="0" w:color="auto"/>
                                    <w:right w:val="none" w:sz="0" w:space="0" w:color="auto"/>
                                  </w:divBdr>
                                  <w:divsChild>
                                    <w:div w:id="1424255285">
                                      <w:marLeft w:val="0"/>
                                      <w:marRight w:val="0"/>
                                      <w:marTop w:val="0"/>
                                      <w:marBottom w:val="0"/>
                                      <w:divBdr>
                                        <w:top w:val="none" w:sz="0" w:space="0" w:color="auto"/>
                                        <w:left w:val="none" w:sz="0" w:space="0" w:color="auto"/>
                                        <w:bottom w:val="none" w:sz="0" w:space="0" w:color="auto"/>
                                        <w:right w:val="none" w:sz="0" w:space="0" w:color="auto"/>
                                      </w:divBdr>
                                      <w:divsChild>
                                        <w:div w:id="540241880">
                                          <w:marLeft w:val="0"/>
                                          <w:marRight w:val="0"/>
                                          <w:marTop w:val="0"/>
                                          <w:marBottom w:val="0"/>
                                          <w:divBdr>
                                            <w:top w:val="none" w:sz="0" w:space="0" w:color="auto"/>
                                            <w:left w:val="none" w:sz="0" w:space="0" w:color="auto"/>
                                            <w:bottom w:val="none" w:sz="0" w:space="0" w:color="auto"/>
                                            <w:right w:val="none" w:sz="0" w:space="0" w:color="auto"/>
                                          </w:divBdr>
                                          <w:divsChild>
                                            <w:div w:id="2097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014723">
      <w:bodyDiv w:val="1"/>
      <w:marLeft w:val="0"/>
      <w:marRight w:val="0"/>
      <w:marTop w:val="0"/>
      <w:marBottom w:val="0"/>
      <w:divBdr>
        <w:top w:val="none" w:sz="0" w:space="0" w:color="auto"/>
        <w:left w:val="none" w:sz="0" w:space="0" w:color="auto"/>
        <w:bottom w:val="none" w:sz="0" w:space="0" w:color="auto"/>
        <w:right w:val="none" w:sz="0" w:space="0" w:color="auto"/>
      </w:divBdr>
      <w:divsChild>
        <w:div w:id="1385563301">
          <w:marLeft w:val="0"/>
          <w:marRight w:val="0"/>
          <w:marTop w:val="0"/>
          <w:marBottom w:val="0"/>
          <w:divBdr>
            <w:top w:val="none" w:sz="0" w:space="0" w:color="auto"/>
            <w:left w:val="none" w:sz="0" w:space="0" w:color="auto"/>
            <w:bottom w:val="none" w:sz="0" w:space="0" w:color="auto"/>
            <w:right w:val="none" w:sz="0" w:space="0" w:color="auto"/>
          </w:divBdr>
          <w:divsChild>
            <w:div w:id="2120442355">
              <w:marLeft w:val="0"/>
              <w:marRight w:val="0"/>
              <w:marTop w:val="0"/>
              <w:marBottom w:val="0"/>
              <w:divBdr>
                <w:top w:val="none" w:sz="0" w:space="0" w:color="auto"/>
                <w:left w:val="none" w:sz="0" w:space="0" w:color="auto"/>
                <w:bottom w:val="none" w:sz="0" w:space="0" w:color="auto"/>
                <w:right w:val="none" w:sz="0" w:space="0" w:color="auto"/>
              </w:divBdr>
              <w:divsChild>
                <w:div w:id="1669289236">
                  <w:marLeft w:val="0"/>
                  <w:marRight w:val="0"/>
                  <w:marTop w:val="0"/>
                  <w:marBottom w:val="0"/>
                  <w:divBdr>
                    <w:top w:val="none" w:sz="0" w:space="0" w:color="auto"/>
                    <w:left w:val="none" w:sz="0" w:space="0" w:color="auto"/>
                    <w:bottom w:val="none" w:sz="0" w:space="0" w:color="auto"/>
                    <w:right w:val="none" w:sz="0" w:space="0" w:color="auto"/>
                  </w:divBdr>
                  <w:divsChild>
                    <w:div w:id="1683970914">
                      <w:marLeft w:val="0"/>
                      <w:marRight w:val="0"/>
                      <w:marTop w:val="0"/>
                      <w:marBottom w:val="0"/>
                      <w:divBdr>
                        <w:top w:val="single" w:sz="6" w:space="0" w:color="DDDDDD"/>
                        <w:left w:val="single" w:sz="6" w:space="0" w:color="DDDDDD"/>
                        <w:bottom w:val="single" w:sz="6" w:space="0" w:color="CCCCCC"/>
                        <w:right w:val="single" w:sz="6" w:space="0" w:color="DDDDDD"/>
                      </w:divBdr>
                      <w:divsChild>
                        <w:div w:id="1476798876">
                          <w:marLeft w:val="0"/>
                          <w:marRight w:val="0"/>
                          <w:marTop w:val="0"/>
                          <w:marBottom w:val="0"/>
                          <w:divBdr>
                            <w:top w:val="none" w:sz="0" w:space="0" w:color="auto"/>
                            <w:left w:val="none" w:sz="0" w:space="0" w:color="auto"/>
                            <w:bottom w:val="none" w:sz="0" w:space="0" w:color="auto"/>
                            <w:right w:val="none" w:sz="0" w:space="0" w:color="auto"/>
                          </w:divBdr>
                          <w:divsChild>
                            <w:div w:id="1520506714">
                              <w:marLeft w:val="0"/>
                              <w:marRight w:val="0"/>
                              <w:marTop w:val="0"/>
                              <w:marBottom w:val="0"/>
                              <w:divBdr>
                                <w:top w:val="none" w:sz="0" w:space="0" w:color="auto"/>
                                <w:left w:val="none" w:sz="0" w:space="0" w:color="auto"/>
                                <w:bottom w:val="none" w:sz="0" w:space="0" w:color="auto"/>
                                <w:right w:val="none" w:sz="0" w:space="0" w:color="auto"/>
                              </w:divBdr>
                              <w:divsChild>
                                <w:div w:id="220024553">
                                  <w:marLeft w:val="0"/>
                                  <w:marRight w:val="0"/>
                                  <w:marTop w:val="0"/>
                                  <w:marBottom w:val="0"/>
                                  <w:divBdr>
                                    <w:top w:val="none" w:sz="0" w:space="0" w:color="auto"/>
                                    <w:left w:val="none" w:sz="0" w:space="0" w:color="auto"/>
                                    <w:bottom w:val="none" w:sz="0" w:space="0" w:color="auto"/>
                                    <w:right w:val="none" w:sz="0" w:space="0" w:color="auto"/>
                                  </w:divBdr>
                                  <w:divsChild>
                                    <w:div w:id="179319335">
                                      <w:marLeft w:val="0"/>
                                      <w:marRight w:val="0"/>
                                      <w:marTop w:val="0"/>
                                      <w:marBottom w:val="0"/>
                                      <w:divBdr>
                                        <w:top w:val="none" w:sz="0" w:space="0" w:color="auto"/>
                                        <w:left w:val="none" w:sz="0" w:space="0" w:color="auto"/>
                                        <w:bottom w:val="none" w:sz="0" w:space="0" w:color="auto"/>
                                        <w:right w:val="none" w:sz="0" w:space="0" w:color="auto"/>
                                      </w:divBdr>
                                      <w:divsChild>
                                        <w:div w:id="10999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733736">
      <w:bodyDiv w:val="1"/>
      <w:marLeft w:val="0"/>
      <w:marRight w:val="0"/>
      <w:marTop w:val="0"/>
      <w:marBottom w:val="0"/>
      <w:divBdr>
        <w:top w:val="none" w:sz="0" w:space="0" w:color="auto"/>
        <w:left w:val="none" w:sz="0" w:space="0" w:color="auto"/>
        <w:bottom w:val="none" w:sz="0" w:space="0" w:color="auto"/>
        <w:right w:val="none" w:sz="0" w:space="0" w:color="auto"/>
      </w:divBdr>
    </w:div>
    <w:div w:id="1042827357">
      <w:bodyDiv w:val="1"/>
      <w:marLeft w:val="0"/>
      <w:marRight w:val="0"/>
      <w:marTop w:val="0"/>
      <w:marBottom w:val="0"/>
      <w:divBdr>
        <w:top w:val="none" w:sz="0" w:space="0" w:color="auto"/>
        <w:left w:val="none" w:sz="0" w:space="0" w:color="auto"/>
        <w:bottom w:val="none" w:sz="0" w:space="0" w:color="auto"/>
        <w:right w:val="none" w:sz="0" w:space="0" w:color="auto"/>
      </w:divBdr>
    </w:div>
    <w:div w:id="1291790567">
      <w:bodyDiv w:val="1"/>
      <w:marLeft w:val="0"/>
      <w:marRight w:val="0"/>
      <w:marTop w:val="0"/>
      <w:marBottom w:val="0"/>
      <w:divBdr>
        <w:top w:val="none" w:sz="0" w:space="0" w:color="auto"/>
        <w:left w:val="none" w:sz="0" w:space="0" w:color="auto"/>
        <w:bottom w:val="none" w:sz="0" w:space="0" w:color="auto"/>
        <w:right w:val="none" w:sz="0" w:space="0" w:color="auto"/>
      </w:divBdr>
      <w:divsChild>
        <w:div w:id="1286110102">
          <w:marLeft w:val="0"/>
          <w:marRight w:val="0"/>
          <w:marTop w:val="0"/>
          <w:marBottom w:val="0"/>
          <w:divBdr>
            <w:top w:val="none" w:sz="0" w:space="0" w:color="auto"/>
            <w:left w:val="none" w:sz="0" w:space="0" w:color="auto"/>
            <w:bottom w:val="none" w:sz="0" w:space="0" w:color="auto"/>
            <w:right w:val="none" w:sz="0" w:space="0" w:color="auto"/>
          </w:divBdr>
          <w:divsChild>
            <w:div w:id="1361011234">
              <w:marLeft w:val="0"/>
              <w:marRight w:val="0"/>
              <w:marTop w:val="0"/>
              <w:marBottom w:val="0"/>
              <w:divBdr>
                <w:top w:val="none" w:sz="0" w:space="0" w:color="auto"/>
                <w:left w:val="none" w:sz="0" w:space="0" w:color="auto"/>
                <w:bottom w:val="none" w:sz="0" w:space="0" w:color="auto"/>
                <w:right w:val="none" w:sz="0" w:space="0" w:color="auto"/>
              </w:divBdr>
              <w:divsChild>
                <w:div w:id="1974941305">
                  <w:marLeft w:val="0"/>
                  <w:marRight w:val="0"/>
                  <w:marTop w:val="0"/>
                  <w:marBottom w:val="0"/>
                  <w:divBdr>
                    <w:top w:val="none" w:sz="0" w:space="0" w:color="auto"/>
                    <w:left w:val="none" w:sz="0" w:space="0" w:color="auto"/>
                    <w:bottom w:val="none" w:sz="0" w:space="0" w:color="auto"/>
                    <w:right w:val="none" w:sz="0" w:space="0" w:color="auto"/>
                  </w:divBdr>
                  <w:divsChild>
                    <w:div w:id="1944026564">
                      <w:marLeft w:val="0"/>
                      <w:marRight w:val="0"/>
                      <w:marTop w:val="0"/>
                      <w:marBottom w:val="0"/>
                      <w:divBdr>
                        <w:top w:val="none" w:sz="0" w:space="0" w:color="auto"/>
                        <w:left w:val="none" w:sz="0" w:space="0" w:color="auto"/>
                        <w:bottom w:val="none" w:sz="0" w:space="0" w:color="auto"/>
                        <w:right w:val="none" w:sz="0" w:space="0" w:color="auto"/>
                      </w:divBdr>
                      <w:divsChild>
                        <w:div w:id="1848322417">
                          <w:marLeft w:val="0"/>
                          <w:marRight w:val="0"/>
                          <w:marTop w:val="0"/>
                          <w:marBottom w:val="0"/>
                          <w:divBdr>
                            <w:top w:val="none" w:sz="0" w:space="0" w:color="auto"/>
                            <w:left w:val="none" w:sz="0" w:space="0" w:color="auto"/>
                            <w:bottom w:val="none" w:sz="0" w:space="0" w:color="auto"/>
                            <w:right w:val="none" w:sz="0" w:space="0" w:color="auto"/>
                          </w:divBdr>
                          <w:divsChild>
                            <w:div w:id="2007125200">
                              <w:marLeft w:val="0"/>
                              <w:marRight w:val="0"/>
                              <w:marTop w:val="0"/>
                              <w:marBottom w:val="0"/>
                              <w:divBdr>
                                <w:top w:val="none" w:sz="0" w:space="0" w:color="auto"/>
                                <w:left w:val="none" w:sz="0" w:space="0" w:color="auto"/>
                                <w:bottom w:val="none" w:sz="0" w:space="0" w:color="auto"/>
                                <w:right w:val="none" w:sz="0" w:space="0" w:color="auto"/>
                              </w:divBdr>
                              <w:divsChild>
                                <w:div w:id="546258157">
                                  <w:marLeft w:val="0"/>
                                  <w:marRight w:val="0"/>
                                  <w:marTop w:val="0"/>
                                  <w:marBottom w:val="0"/>
                                  <w:divBdr>
                                    <w:top w:val="none" w:sz="0" w:space="0" w:color="auto"/>
                                    <w:left w:val="none" w:sz="0" w:space="0" w:color="auto"/>
                                    <w:bottom w:val="none" w:sz="0" w:space="0" w:color="auto"/>
                                    <w:right w:val="none" w:sz="0" w:space="0" w:color="auto"/>
                                  </w:divBdr>
                                  <w:divsChild>
                                    <w:div w:id="138034054">
                                      <w:marLeft w:val="0"/>
                                      <w:marRight w:val="0"/>
                                      <w:marTop w:val="0"/>
                                      <w:marBottom w:val="0"/>
                                      <w:divBdr>
                                        <w:top w:val="none" w:sz="0" w:space="0" w:color="auto"/>
                                        <w:left w:val="none" w:sz="0" w:space="0" w:color="auto"/>
                                        <w:bottom w:val="none" w:sz="0" w:space="0" w:color="auto"/>
                                        <w:right w:val="none" w:sz="0" w:space="0" w:color="auto"/>
                                      </w:divBdr>
                                      <w:divsChild>
                                        <w:div w:id="748115827">
                                          <w:marLeft w:val="0"/>
                                          <w:marRight w:val="0"/>
                                          <w:marTop w:val="0"/>
                                          <w:marBottom w:val="0"/>
                                          <w:divBdr>
                                            <w:top w:val="none" w:sz="0" w:space="0" w:color="auto"/>
                                            <w:left w:val="none" w:sz="0" w:space="0" w:color="auto"/>
                                            <w:bottom w:val="none" w:sz="0" w:space="0" w:color="auto"/>
                                            <w:right w:val="none" w:sz="0" w:space="0" w:color="auto"/>
                                          </w:divBdr>
                                          <w:divsChild>
                                            <w:div w:id="4267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948342">
      <w:bodyDiv w:val="1"/>
      <w:marLeft w:val="0"/>
      <w:marRight w:val="0"/>
      <w:marTop w:val="0"/>
      <w:marBottom w:val="0"/>
      <w:divBdr>
        <w:top w:val="none" w:sz="0" w:space="0" w:color="auto"/>
        <w:left w:val="none" w:sz="0" w:space="0" w:color="auto"/>
        <w:bottom w:val="none" w:sz="0" w:space="0" w:color="auto"/>
        <w:right w:val="none" w:sz="0" w:space="0" w:color="auto"/>
      </w:divBdr>
    </w:div>
    <w:div w:id="1496648875">
      <w:bodyDiv w:val="1"/>
      <w:marLeft w:val="0"/>
      <w:marRight w:val="0"/>
      <w:marTop w:val="0"/>
      <w:marBottom w:val="0"/>
      <w:divBdr>
        <w:top w:val="none" w:sz="0" w:space="0" w:color="auto"/>
        <w:left w:val="none" w:sz="0" w:space="0" w:color="auto"/>
        <w:bottom w:val="none" w:sz="0" w:space="0" w:color="auto"/>
        <w:right w:val="none" w:sz="0" w:space="0" w:color="auto"/>
      </w:divBdr>
      <w:divsChild>
        <w:div w:id="1774664927">
          <w:marLeft w:val="0"/>
          <w:marRight w:val="0"/>
          <w:marTop w:val="0"/>
          <w:marBottom w:val="0"/>
          <w:divBdr>
            <w:top w:val="none" w:sz="0" w:space="0" w:color="auto"/>
            <w:left w:val="none" w:sz="0" w:space="0" w:color="auto"/>
            <w:bottom w:val="none" w:sz="0" w:space="0" w:color="auto"/>
            <w:right w:val="none" w:sz="0" w:space="0" w:color="auto"/>
          </w:divBdr>
          <w:divsChild>
            <w:div w:id="1741244100">
              <w:marLeft w:val="0"/>
              <w:marRight w:val="0"/>
              <w:marTop w:val="0"/>
              <w:marBottom w:val="0"/>
              <w:divBdr>
                <w:top w:val="none" w:sz="0" w:space="0" w:color="auto"/>
                <w:left w:val="none" w:sz="0" w:space="0" w:color="auto"/>
                <w:bottom w:val="none" w:sz="0" w:space="0" w:color="auto"/>
                <w:right w:val="none" w:sz="0" w:space="0" w:color="auto"/>
              </w:divBdr>
              <w:divsChild>
                <w:div w:id="149642422">
                  <w:marLeft w:val="0"/>
                  <w:marRight w:val="0"/>
                  <w:marTop w:val="0"/>
                  <w:marBottom w:val="0"/>
                  <w:divBdr>
                    <w:top w:val="none" w:sz="0" w:space="0" w:color="auto"/>
                    <w:left w:val="none" w:sz="0" w:space="0" w:color="auto"/>
                    <w:bottom w:val="none" w:sz="0" w:space="0" w:color="auto"/>
                    <w:right w:val="none" w:sz="0" w:space="0" w:color="auto"/>
                  </w:divBdr>
                  <w:divsChild>
                    <w:div w:id="1611429493">
                      <w:marLeft w:val="0"/>
                      <w:marRight w:val="0"/>
                      <w:marTop w:val="0"/>
                      <w:marBottom w:val="0"/>
                      <w:divBdr>
                        <w:top w:val="none" w:sz="0" w:space="0" w:color="auto"/>
                        <w:left w:val="none" w:sz="0" w:space="0" w:color="auto"/>
                        <w:bottom w:val="none" w:sz="0" w:space="0" w:color="auto"/>
                        <w:right w:val="none" w:sz="0" w:space="0" w:color="auto"/>
                      </w:divBdr>
                      <w:divsChild>
                        <w:div w:id="1544125741">
                          <w:marLeft w:val="0"/>
                          <w:marRight w:val="0"/>
                          <w:marTop w:val="0"/>
                          <w:marBottom w:val="0"/>
                          <w:divBdr>
                            <w:top w:val="none" w:sz="0" w:space="0" w:color="auto"/>
                            <w:left w:val="none" w:sz="0" w:space="0" w:color="auto"/>
                            <w:bottom w:val="none" w:sz="0" w:space="0" w:color="auto"/>
                            <w:right w:val="none" w:sz="0" w:space="0" w:color="auto"/>
                          </w:divBdr>
                          <w:divsChild>
                            <w:div w:id="980117614">
                              <w:marLeft w:val="0"/>
                              <w:marRight w:val="0"/>
                              <w:marTop w:val="0"/>
                              <w:marBottom w:val="0"/>
                              <w:divBdr>
                                <w:top w:val="none" w:sz="0" w:space="0" w:color="auto"/>
                                <w:left w:val="none" w:sz="0" w:space="0" w:color="auto"/>
                                <w:bottom w:val="none" w:sz="0" w:space="0" w:color="auto"/>
                                <w:right w:val="none" w:sz="0" w:space="0" w:color="auto"/>
                              </w:divBdr>
                              <w:divsChild>
                                <w:div w:id="917982555">
                                  <w:marLeft w:val="0"/>
                                  <w:marRight w:val="0"/>
                                  <w:marTop w:val="0"/>
                                  <w:marBottom w:val="0"/>
                                  <w:divBdr>
                                    <w:top w:val="none" w:sz="0" w:space="0" w:color="auto"/>
                                    <w:left w:val="none" w:sz="0" w:space="0" w:color="auto"/>
                                    <w:bottom w:val="none" w:sz="0" w:space="0" w:color="auto"/>
                                    <w:right w:val="none" w:sz="0" w:space="0" w:color="auto"/>
                                  </w:divBdr>
                                  <w:divsChild>
                                    <w:div w:id="1804348961">
                                      <w:marLeft w:val="0"/>
                                      <w:marRight w:val="0"/>
                                      <w:marTop w:val="0"/>
                                      <w:marBottom w:val="0"/>
                                      <w:divBdr>
                                        <w:top w:val="none" w:sz="0" w:space="0" w:color="auto"/>
                                        <w:left w:val="none" w:sz="0" w:space="0" w:color="auto"/>
                                        <w:bottom w:val="none" w:sz="0" w:space="0" w:color="auto"/>
                                        <w:right w:val="none" w:sz="0" w:space="0" w:color="auto"/>
                                      </w:divBdr>
                                      <w:divsChild>
                                        <w:div w:id="264731599">
                                          <w:marLeft w:val="0"/>
                                          <w:marRight w:val="0"/>
                                          <w:marTop w:val="0"/>
                                          <w:marBottom w:val="0"/>
                                          <w:divBdr>
                                            <w:top w:val="none" w:sz="0" w:space="0" w:color="auto"/>
                                            <w:left w:val="none" w:sz="0" w:space="0" w:color="auto"/>
                                            <w:bottom w:val="none" w:sz="0" w:space="0" w:color="auto"/>
                                            <w:right w:val="none" w:sz="0" w:space="0" w:color="auto"/>
                                          </w:divBdr>
                                          <w:divsChild>
                                            <w:div w:id="8930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876543">
      <w:bodyDiv w:val="1"/>
      <w:marLeft w:val="0"/>
      <w:marRight w:val="0"/>
      <w:marTop w:val="0"/>
      <w:marBottom w:val="0"/>
      <w:divBdr>
        <w:top w:val="none" w:sz="0" w:space="0" w:color="auto"/>
        <w:left w:val="none" w:sz="0" w:space="0" w:color="auto"/>
        <w:bottom w:val="none" w:sz="0" w:space="0" w:color="auto"/>
        <w:right w:val="none" w:sz="0" w:space="0" w:color="auto"/>
      </w:divBdr>
      <w:divsChild>
        <w:div w:id="348142726">
          <w:marLeft w:val="0"/>
          <w:marRight w:val="0"/>
          <w:marTop w:val="0"/>
          <w:marBottom w:val="0"/>
          <w:divBdr>
            <w:top w:val="none" w:sz="0" w:space="0" w:color="auto"/>
            <w:left w:val="none" w:sz="0" w:space="0" w:color="auto"/>
            <w:bottom w:val="none" w:sz="0" w:space="0" w:color="auto"/>
            <w:right w:val="none" w:sz="0" w:space="0" w:color="auto"/>
          </w:divBdr>
          <w:divsChild>
            <w:div w:id="2041128079">
              <w:marLeft w:val="0"/>
              <w:marRight w:val="0"/>
              <w:marTop w:val="0"/>
              <w:marBottom w:val="0"/>
              <w:divBdr>
                <w:top w:val="none" w:sz="0" w:space="0" w:color="auto"/>
                <w:left w:val="none" w:sz="0" w:space="0" w:color="auto"/>
                <w:bottom w:val="none" w:sz="0" w:space="0" w:color="auto"/>
                <w:right w:val="none" w:sz="0" w:space="0" w:color="auto"/>
              </w:divBdr>
              <w:divsChild>
                <w:div w:id="383679737">
                  <w:marLeft w:val="0"/>
                  <w:marRight w:val="0"/>
                  <w:marTop w:val="0"/>
                  <w:marBottom w:val="0"/>
                  <w:divBdr>
                    <w:top w:val="none" w:sz="0" w:space="0" w:color="auto"/>
                    <w:left w:val="none" w:sz="0" w:space="0" w:color="auto"/>
                    <w:bottom w:val="none" w:sz="0" w:space="0" w:color="auto"/>
                    <w:right w:val="none" w:sz="0" w:space="0" w:color="auto"/>
                  </w:divBdr>
                  <w:divsChild>
                    <w:div w:id="1341742257">
                      <w:marLeft w:val="0"/>
                      <w:marRight w:val="0"/>
                      <w:marTop w:val="0"/>
                      <w:marBottom w:val="0"/>
                      <w:divBdr>
                        <w:top w:val="none" w:sz="0" w:space="0" w:color="auto"/>
                        <w:left w:val="none" w:sz="0" w:space="0" w:color="auto"/>
                        <w:bottom w:val="none" w:sz="0" w:space="0" w:color="auto"/>
                        <w:right w:val="none" w:sz="0" w:space="0" w:color="auto"/>
                      </w:divBdr>
                      <w:divsChild>
                        <w:div w:id="1874491059">
                          <w:marLeft w:val="0"/>
                          <w:marRight w:val="0"/>
                          <w:marTop w:val="0"/>
                          <w:marBottom w:val="0"/>
                          <w:divBdr>
                            <w:top w:val="none" w:sz="0" w:space="0" w:color="auto"/>
                            <w:left w:val="none" w:sz="0" w:space="0" w:color="auto"/>
                            <w:bottom w:val="none" w:sz="0" w:space="0" w:color="auto"/>
                            <w:right w:val="none" w:sz="0" w:space="0" w:color="auto"/>
                          </w:divBdr>
                          <w:divsChild>
                            <w:div w:id="240796796">
                              <w:marLeft w:val="0"/>
                              <w:marRight w:val="0"/>
                              <w:marTop w:val="0"/>
                              <w:marBottom w:val="0"/>
                              <w:divBdr>
                                <w:top w:val="none" w:sz="0" w:space="0" w:color="auto"/>
                                <w:left w:val="none" w:sz="0" w:space="0" w:color="auto"/>
                                <w:bottom w:val="none" w:sz="0" w:space="0" w:color="auto"/>
                                <w:right w:val="none" w:sz="0" w:space="0" w:color="auto"/>
                              </w:divBdr>
                              <w:divsChild>
                                <w:div w:id="521435568">
                                  <w:marLeft w:val="0"/>
                                  <w:marRight w:val="0"/>
                                  <w:marTop w:val="0"/>
                                  <w:marBottom w:val="0"/>
                                  <w:divBdr>
                                    <w:top w:val="none" w:sz="0" w:space="0" w:color="auto"/>
                                    <w:left w:val="none" w:sz="0" w:space="0" w:color="auto"/>
                                    <w:bottom w:val="none" w:sz="0" w:space="0" w:color="auto"/>
                                    <w:right w:val="none" w:sz="0" w:space="0" w:color="auto"/>
                                  </w:divBdr>
                                  <w:divsChild>
                                    <w:div w:id="270866761">
                                      <w:marLeft w:val="0"/>
                                      <w:marRight w:val="0"/>
                                      <w:marTop w:val="0"/>
                                      <w:marBottom w:val="0"/>
                                      <w:divBdr>
                                        <w:top w:val="none" w:sz="0" w:space="0" w:color="auto"/>
                                        <w:left w:val="none" w:sz="0" w:space="0" w:color="auto"/>
                                        <w:bottom w:val="none" w:sz="0" w:space="0" w:color="auto"/>
                                        <w:right w:val="none" w:sz="0" w:space="0" w:color="auto"/>
                                      </w:divBdr>
                                      <w:divsChild>
                                        <w:div w:id="1195655843">
                                          <w:marLeft w:val="0"/>
                                          <w:marRight w:val="0"/>
                                          <w:marTop w:val="0"/>
                                          <w:marBottom w:val="0"/>
                                          <w:divBdr>
                                            <w:top w:val="none" w:sz="0" w:space="0" w:color="auto"/>
                                            <w:left w:val="none" w:sz="0" w:space="0" w:color="auto"/>
                                            <w:bottom w:val="none" w:sz="0" w:space="0" w:color="auto"/>
                                            <w:right w:val="none" w:sz="0" w:space="0" w:color="auto"/>
                                          </w:divBdr>
                                          <w:divsChild>
                                            <w:div w:id="7138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bbc.co.uk/news/business-3927753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telegraph.co.uk/finance/jobs/8760594/UK-has-lost-2m-jobs-since-recession.html"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[OCC 10yr Income Apr 06 - Feb 17.xlsx]Pivot Summary!PivotTable3</c:name>
    <c:fmtId val="-1"/>
  </c:pivotSource>
  <c:chart>
    <c:title>
      <c:tx>
        <c:rich>
          <a:bodyPr/>
          <a:lstStyle/>
          <a:p>
            <a:pPr>
              <a:defRPr/>
            </a:pPr>
            <a:r>
              <a:rPr lang="en-GB"/>
              <a:t>Oxford</a:t>
            </a:r>
            <a:r>
              <a:rPr lang="en-GB" baseline="0"/>
              <a:t> </a:t>
            </a:r>
            <a:r>
              <a:rPr lang="en-GB"/>
              <a:t>City Council Income Streams</a:t>
            </a:r>
          </a:p>
          <a:p>
            <a:pPr>
              <a:defRPr/>
            </a:pPr>
            <a:r>
              <a:rPr lang="en-GB" sz="1600"/>
              <a:t>01 April 2006 - 28 February 2017</a:t>
            </a:r>
          </a:p>
        </c:rich>
      </c:tx>
      <c:overlay val="0"/>
    </c:title>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s>
    <c:plotArea>
      <c:layout/>
      <c:lineChart>
        <c:grouping val="standard"/>
        <c:varyColors val="0"/>
        <c:ser>
          <c:idx val="0"/>
          <c:order val="0"/>
          <c:tx>
            <c:strRef>
              <c:f>'Pivot Summary'!$B$1:$B$2</c:f>
              <c:strCache>
                <c:ptCount val="1"/>
                <c:pt idx="0">
                  <c:v>Car Parking</c:v>
                </c:pt>
              </c:strCache>
            </c:strRef>
          </c:tx>
          <c:marker>
            <c:symbol val="none"/>
          </c:marker>
          <c:cat>
            <c:strRef>
              <c:f>'Pivot Summary'!$A$3:$A$13</c:f>
              <c:strCache>
                <c:ptCount val="11"/>
                <c:pt idx="0">
                  <c:v>2006/07</c:v>
                </c:pt>
                <c:pt idx="1">
                  <c:v>2007/08</c:v>
                </c:pt>
                <c:pt idx="2">
                  <c:v>2008/09</c:v>
                </c:pt>
                <c:pt idx="3">
                  <c:v>2009/10</c:v>
                </c:pt>
                <c:pt idx="4">
                  <c:v>2010/11</c:v>
                </c:pt>
                <c:pt idx="5">
                  <c:v>2011/12</c:v>
                </c:pt>
                <c:pt idx="6">
                  <c:v>2012/13</c:v>
                </c:pt>
                <c:pt idx="7">
                  <c:v>2013/14</c:v>
                </c:pt>
                <c:pt idx="8">
                  <c:v>2014/15</c:v>
                </c:pt>
                <c:pt idx="9">
                  <c:v>2015/16</c:v>
                </c:pt>
                <c:pt idx="10">
                  <c:v>2016/17 YTD</c:v>
                </c:pt>
              </c:strCache>
            </c:strRef>
          </c:cat>
          <c:val>
            <c:numRef>
              <c:f>'Pivot Summary'!$B$3:$B$13</c:f>
              <c:numCache>
                <c:formatCode>#,##0_ ;[Red]\-#,##0\ </c:formatCode>
                <c:ptCount val="11"/>
                <c:pt idx="0">
                  <c:v>6058211.6800000006</c:v>
                </c:pt>
                <c:pt idx="1">
                  <c:v>6851821.7699999996</c:v>
                </c:pt>
                <c:pt idx="2">
                  <c:v>7942126.9000000004</c:v>
                </c:pt>
                <c:pt idx="3">
                  <c:v>7225766.8800000018</c:v>
                </c:pt>
                <c:pt idx="4">
                  <c:v>6840034.6199999992</c:v>
                </c:pt>
                <c:pt idx="5">
                  <c:v>7399962.1300000008</c:v>
                </c:pt>
                <c:pt idx="6">
                  <c:v>7910115.3799999971</c:v>
                </c:pt>
                <c:pt idx="7">
                  <c:v>8420288.4499999993</c:v>
                </c:pt>
                <c:pt idx="8">
                  <c:v>8308336.2600000016</c:v>
                </c:pt>
                <c:pt idx="9">
                  <c:v>7331795.9100000011</c:v>
                </c:pt>
                <c:pt idx="10">
                  <c:v>6744792.9899999984</c:v>
                </c:pt>
              </c:numCache>
            </c:numRef>
          </c:val>
          <c:smooth val="0"/>
        </c:ser>
        <c:ser>
          <c:idx val="1"/>
          <c:order val="1"/>
          <c:tx>
            <c:strRef>
              <c:f>'Pivot Summary'!$C$1:$C$2</c:f>
              <c:strCache>
                <c:ptCount val="1"/>
                <c:pt idx="0">
                  <c:v>Commercial Rent</c:v>
                </c:pt>
              </c:strCache>
            </c:strRef>
          </c:tx>
          <c:marker>
            <c:symbol val="none"/>
          </c:marker>
          <c:cat>
            <c:strRef>
              <c:f>'Pivot Summary'!$A$3:$A$13</c:f>
              <c:strCache>
                <c:ptCount val="11"/>
                <c:pt idx="0">
                  <c:v>2006/07</c:v>
                </c:pt>
                <c:pt idx="1">
                  <c:v>2007/08</c:v>
                </c:pt>
                <c:pt idx="2">
                  <c:v>2008/09</c:v>
                </c:pt>
                <c:pt idx="3">
                  <c:v>2009/10</c:v>
                </c:pt>
                <c:pt idx="4">
                  <c:v>2010/11</c:v>
                </c:pt>
                <c:pt idx="5">
                  <c:v>2011/12</c:v>
                </c:pt>
                <c:pt idx="6">
                  <c:v>2012/13</c:v>
                </c:pt>
                <c:pt idx="7">
                  <c:v>2013/14</c:v>
                </c:pt>
                <c:pt idx="8">
                  <c:v>2014/15</c:v>
                </c:pt>
                <c:pt idx="9">
                  <c:v>2015/16</c:v>
                </c:pt>
                <c:pt idx="10">
                  <c:v>2016/17 YTD</c:v>
                </c:pt>
              </c:strCache>
            </c:strRef>
          </c:cat>
          <c:val>
            <c:numRef>
              <c:f>'Pivot Summary'!$C$3:$C$13</c:f>
              <c:numCache>
                <c:formatCode>#,##0_ ;[Red]\-#,##0\ </c:formatCode>
                <c:ptCount val="11"/>
                <c:pt idx="0">
                  <c:v>6536384.709999999</c:v>
                </c:pt>
                <c:pt idx="1">
                  <c:v>7022268.4499999965</c:v>
                </c:pt>
                <c:pt idx="2">
                  <c:v>7493217.5700000077</c:v>
                </c:pt>
                <c:pt idx="3">
                  <c:v>6987569.2599999998</c:v>
                </c:pt>
                <c:pt idx="4">
                  <c:v>6903001.54</c:v>
                </c:pt>
                <c:pt idx="5">
                  <c:v>7834275.9999999972</c:v>
                </c:pt>
                <c:pt idx="6">
                  <c:v>8176428.179999995</c:v>
                </c:pt>
                <c:pt idx="7">
                  <c:v>8470997.9599999972</c:v>
                </c:pt>
                <c:pt idx="8">
                  <c:v>10441990.23</c:v>
                </c:pt>
                <c:pt idx="9">
                  <c:v>11847693.849999998</c:v>
                </c:pt>
                <c:pt idx="10">
                  <c:v>11876609.557272727</c:v>
                </c:pt>
              </c:numCache>
            </c:numRef>
          </c:val>
          <c:smooth val="0"/>
        </c:ser>
        <c:ser>
          <c:idx val="2"/>
          <c:order val="2"/>
          <c:tx>
            <c:strRef>
              <c:f>'Pivot Summary'!$D$1:$D$2</c:f>
              <c:strCache>
                <c:ptCount val="1"/>
                <c:pt idx="0">
                  <c:v>Investment Income</c:v>
                </c:pt>
              </c:strCache>
            </c:strRef>
          </c:tx>
          <c:marker>
            <c:symbol val="none"/>
          </c:marker>
          <c:cat>
            <c:strRef>
              <c:f>'Pivot Summary'!$A$3:$A$13</c:f>
              <c:strCache>
                <c:ptCount val="11"/>
                <c:pt idx="0">
                  <c:v>2006/07</c:v>
                </c:pt>
                <c:pt idx="1">
                  <c:v>2007/08</c:v>
                </c:pt>
                <c:pt idx="2">
                  <c:v>2008/09</c:v>
                </c:pt>
                <c:pt idx="3">
                  <c:v>2009/10</c:v>
                </c:pt>
                <c:pt idx="4">
                  <c:v>2010/11</c:v>
                </c:pt>
                <c:pt idx="5">
                  <c:v>2011/12</c:v>
                </c:pt>
                <c:pt idx="6">
                  <c:v>2012/13</c:v>
                </c:pt>
                <c:pt idx="7">
                  <c:v>2013/14</c:v>
                </c:pt>
                <c:pt idx="8">
                  <c:v>2014/15</c:v>
                </c:pt>
                <c:pt idx="9">
                  <c:v>2015/16</c:v>
                </c:pt>
                <c:pt idx="10">
                  <c:v>2016/17 YTD</c:v>
                </c:pt>
              </c:strCache>
            </c:strRef>
          </c:cat>
          <c:val>
            <c:numRef>
              <c:f>'Pivot Summary'!$D$3:$D$13</c:f>
              <c:numCache>
                <c:formatCode>#,##0_ ;[Red]\-#,##0\ </c:formatCode>
                <c:ptCount val="11"/>
                <c:pt idx="0">
                  <c:v>2230233.9700000002</c:v>
                </c:pt>
                <c:pt idx="1">
                  <c:v>2666204.9900000002</c:v>
                </c:pt>
                <c:pt idx="2">
                  <c:v>2269966.16</c:v>
                </c:pt>
                <c:pt idx="3">
                  <c:v>249717.28</c:v>
                </c:pt>
                <c:pt idx="4">
                  <c:v>220405.31</c:v>
                </c:pt>
                <c:pt idx="5">
                  <c:v>346899.62</c:v>
                </c:pt>
                <c:pt idx="6">
                  <c:v>403169.54000000004</c:v>
                </c:pt>
                <c:pt idx="7">
                  <c:v>438439.65</c:v>
                </c:pt>
                <c:pt idx="8">
                  <c:v>723225.68</c:v>
                </c:pt>
                <c:pt idx="9">
                  <c:v>900039.88</c:v>
                </c:pt>
                <c:pt idx="10">
                  <c:v>878000</c:v>
                </c:pt>
              </c:numCache>
            </c:numRef>
          </c:val>
          <c:smooth val="0"/>
        </c:ser>
        <c:ser>
          <c:idx val="3"/>
          <c:order val="3"/>
          <c:tx>
            <c:strRef>
              <c:f>'Pivot Summary'!$E$1:$E$2</c:f>
              <c:strCache>
                <c:ptCount val="1"/>
                <c:pt idx="0">
                  <c:v>Planning Fees</c:v>
                </c:pt>
              </c:strCache>
            </c:strRef>
          </c:tx>
          <c:marker>
            <c:symbol val="none"/>
          </c:marker>
          <c:cat>
            <c:strRef>
              <c:f>'Pivot Summary'!$A$3:$A$13</c:f>
              <c:strCache>
                <c:ptCount val="11"/>
                <c:pt idx="0">
                  <c:v>2006/07</c:v>
                </c:pt>
                <c:pt idx="1">
                  <c:v>2007/08</c:v>
                </c:pt>
                <c:pt idx="2">
                  <c:v>2008/09</c:v>
                </c:pt>
                <c:pt idx="3">
                  <c:v>2009/10</c:v>
                </c:pt>
                <c:pt idx="4">
                  <c:v>2010/11</c:v>
                </c:pt>
                <c:pt idx="5">
                  <c:v>2011/12</c:v>
                </c:pt>
                <c:pt idx="6">
                  <c:v>2012/13</c:v>
                </c:pt>
                <c:pt idx="7">
                  <c:v>2013/14</c:v>
                </c:pt>
                <c:pt idx="8">
                  <c:v>2014/15</c:v>
                </c:pt>
                <c:pt idx="9">
                  <c:v>2015/16</c:v>
                </c:pt>
                <c:pt idx="10">
                  <c:v>2016/17 YTD</c:v>
                </c:pt>
              </c:strCache>
            </c:strRef>
          </c:cat>
          <c:val>
            <c:numRef>
              <c:f>'Pivot Summary'!$E$3:$E$13</c:f>
              <c:numCache>
                <c:formatCode>#,##0_ ;[Red]\-#,##0\ </c:formatCode>
                <c:ptCount val="11"/>
                <c:pt idx="0">
                  <c:v>1781082.0300000003</c:v>
                </c:pt>
                <c:pt idx="1">
                  <c:v>1768433.63</c:v>
                </c:pt>
                <c:pt idx="2">
                  <c:v>1465527.9700000002</c:v>
                </c:pt>
                <c:pt idx="3">
                  <c:v>1570160.9700000002</c:v>
                </c:pt>
                <c:pt idx="4">
                  <c:v>2267405.7100000004</c:v>
                </c:pt>
                <c:pt idx="5">
                  <c:v>2183421.0300000003</c:v>
                </c:pt>
                <c:pt idx="6">
                  <c:v>2132330.17</c:v>
                </c:pt>
                <c:pt idx="7">
                  <c:v>2543836.13</c:v>
                </c:pt>
                <c:pt idx="8">
                  <c:v>2872389.1300000013</c:v>
                </c:pt>
                <c:pt idx="9">
                  <c:v>2674548.35</c:v>
                </c:pt>
                <c:pt idx="10">
                  <c:v>2515229.14</c:v>
                </c:pt>
              </c:numCache>
            </c:numRef>
          </c:val>
          <c:smooth val="0"/>
        </c:ser>
        <c:dLbls>
          <c:showLegendKey val="0"/>
          <c:showVal val="0"/>
          <c:showCatName val="0"/>
          <c:showSerName val="0"/>
          <c:showPercent val="0"/>
          <c:showBubbleSize val="0"/>
        </c:dLbls>
        <c:marker val="1"/>
        <c:smooth val="0"/>
        <c:axId val="161348992"/>
        <c:axId val="87733376"/>
      </c:lineChart>
      <c:catAx>
        <c:axId val="161348992"/>
        <c:scaling>
          <c:orientation val="minMax"/>
        </c:scaling>
        <c:delete val="0"/>
        <c:axPos val="b"/>
        <c:majorTickMark val="out"/>
        <c:minorTickMark val="none"/>
        <c:tickLblPos val="nextTo"/>
        <c:crossAx val="87733376"/>
        <c:crosses val="autoZero"/>
        <c:auto val="1"/>
        <c:lblAlgn val="ctr"/>
        <c:lblOffset val="100"/>
        <c:noMultiLvlLbl val="0"/>
      </c:catAx>
      <c:valAx>
        <c:axId val="87733376"/>
        <c:scaling>
          <c:orientation val="minMax"/>
        </c:scaling>
        <c:delete val="0"/>
        <c:axPos val="l"/>
        <c:majorGridlines/>
        <c:numFmt formatCode="#,##0_ ;[Red]\-#,##0\ " sourceLinked="0"/>
        <c:majorTickMark val="out"/>
        <c:minorTickMark val="none"/>
        <c:tickLblPos val="nextTo"/>
        <c:crossAx val="161348992"/>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Series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F5EA8-407F-407D-A339-BB4F78E8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nkennedy</dc:creator>
  <cp:lastModifiedBy>nkennedy</cp:lastModifiedBy>
  <cp:revision>2</cp:revision>
  <cp:lastPrinted>2016-08-10T11:48:00Z</cp:lastPrinted>
  <dcterms:created xsi:type="dcterms:W3CDTF">2017-03-22T13:10:00Z</dcterms:created>
  <dcterms:modified xsi:type="dcterms:W3CDTF">2017-03-22T13:10:00Z</dcterms:modified>
</cp:coreProperties>
</file>