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2F" w:rsidRDefault="00623C2F">
      <w:pPr>
        <w:pStyle w:val="CommentText"/>
        <w:rPr>
          <w:noProof/>
          <w:szCs w:val="24"/>
          <w:lang w:val="en-US"/>
        </w:rPr>
      </w:pPr>
    </w:p>
    <w:p w:rsidR="00623C2F" w:rsidRDefault="00623C2F">
      <w:pPr>
        <w:pStyle w:val="CommentText"/>
        <w:rPr>
          <w:noProof/>
          <w:szCs w:val="24"/>
          <w:lang w:val="en-US"/>
        </w:rPr>
      </w:pPr>
    </w:p>
    <w:p w:rsidR="00623C2F" w:rsidRDefault="00623C2F">
      <w:pPr>
        <w:pStyle w:val="CommentText"/>
        <w:rPr>
          <w:noProof/>
          <w:szCs w:val="24"/>
          <w:lang w:val="en-US"/>
        </w:rPr>
      </w:pPr>
    </w:p>
    <w:p w:rsidR="00623C2F" w:rsidRDefault="00623C2F">
      <w:pPr>
        <w:pStyle w:val="CommentText"/>
        <w:rPr>
          <w:noProof/>
          <w:szCs w:val="24"/>
          <w:lang w:val="en-US"/>
        </w:rPr>
      </w:pPr>
    </w:p>
    <w:p w:rsidR="00623C2F" w:rsidRDefault="00623C2F">
      <w:pPr>
        <w:pStyle w:val="CommentText"/>
        <w:rPr>
          <w:noProof/>
          <w:szCs w:val="24"/>
          <w:lang w:val="en-US"/>
        </w:rPr>
      </w:pPr>
    </w:p>
    <w:p w:rsidR="00F4367A" w:rsidRDefault="00FD34CA">
      <w:pPr>
        <w:pStyle w:val="CommentText"/>
        <w:rPr>
          <w:noProof/>
          <w:szCs w:val="24"/>
          <w:lang w:val="en-US"/>
        </w:rPr>
      </w:pPr>
      <w:r>
        <w:rPr>
          <w:noProof/>
          <w:szCs w:val="24"/>
          <w:lang w:eastAsia="en-GB"/>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-683895</wp:posOffset>
                </wp:positionV>
                <wp:extent cx="1143000" cy="1485900"/>
                <wp:effectExtent l="0" t="190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FDD" w:rsidRDefault="00EA2FDD">
                            <w:r>
                              <w:rPr>
                                <w:noProof/>
                                <w:lang w:eastAsia="en-GB"/>
                              </w:rPr>
                              <w:drawing>
                                <wp:inline distT="0" distB="0" distL="0" distR="0" wp14:anchorId="7A85CA9C" wp14:editId="79BABD67">
                                  <wp:extent cx="935355" cy="1254760"/>
                                  <wp:effectExtent l="0" t="0" r="0" b="254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5355" cy="12547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96pt;margin-top:-53.85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" stroked="f">
                <v:textbox>
                  <w:txbxContent>
                    <w:p w:rsidR="00EA2FDD" w:rsidRDefault="00EA2FDD">
                      <w:r>
                        <w:rPr>
                          <w:noProof/>
                          <w:lang w:eastAsia="en-GB"/>
                        </w:rPr>
                        <w:drawing>
                          <wp:inline distT="0" distB="0" distL="0" distR="0" wp14:anchorId="7A85CA9C" wp14:editId="79BABD67">
                            <wp:extent cx="935355" cy="1254760"/>
                            <wp:effectExtent l="0" t="0" r="0" b="254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355" cy="1254760"/>
                                    </a:xfrm>
                                    <a:prstGeom prst="rect">
                                      <a:avLst/>
                                    </a:prstGeom>
                                    <a:noFill/>
                                    <a:ln>
                                      <a:noFill/>
                                    </a:ln>
                                  </pic:spPr>
                                </pic:pic>
                              </a:graphicData>
                            </a:graphic>
                          </wp:inline>
                        </w:drawing>
                      </w:r>
                    </w:p>
                  </w:txbxContent>
                </v:textbox>
              </v:shape>
            </w:pict>
          </mc:Fallback>
        </mc:AlternateContent>
      </w:r>
    </w:p>
    <w:p w:rsidR="00F4367A" w:rsidRDefault="00F4367A">
      <w:pPr>
        <w:jc w:val="right"/>
        <w:rPr>
          <w:b/>
          <w:bCs/>
        </w:rPr>
      </w:pPr>
    </w:p>
    <w:p w:rsidR="00F4367A" w:rsidRDefault="00F4367A">
      <w:pPr>
        <w:jc w:val="right"/>
      </w:pPr>
    </w:p>
    <w:p w:rsidR="00F4367A" w:rsidRDefault="00F4367A">
      <w:pPr>
        <w:tabs>
          <w:tab w:val="left" w:pos="2160"/>
        </w:tabs>
        <w:rPr>
          <w:b/>
          <w:bCs/>
          <w:sz w:val="32"/>
          <w:u w:val="single"/>
        </w:rPr>
      </w:pPr>
      <w:r>
        <w:rPr>
          <w:b/>
          <w:bCs/>
          <w:sz w:val="32"/>
          <w:u w:val="single"/>
        </w:rPr>
        <w:t xml:space="preserve">                                                                             </w:t>
      </w:r>
    </w:p>
    <w:p w:rsidR="00F4367A" w:rsidRDefault="00F4367A">
      <w:pPr>
        <w:rPr>
          <w:b/>
          <w:bCs/>
        </w:rPr>
      </w:pPr>
    </w:p>
    <w:p w:rsidR="00F4367A" w:rsidRDefault="00F4367A">
      <w:pPr>
        <w:tabs>
          <w:tab w:val="left" w:pos="2160"/>
        </w:tabs>
        <w:rPr>
          <w:rFonts w:cs="Arial"/>
          <w:b/>
          <w:bCs/>
        </w:rPr>
      </w:pPr>
      <w:r>
        <w:rPr>
          <w:rFonts w:cs="Arial"/>
          <w:b/>
          <w:bCs/>
        </w:rPr>
        <w:t>To:</w:t>
      </w:r>
      <w:r w:rsidR="00EA2FDD">
        <w:rPr>
          <w:rFonts w:cs="Arial"/>
          <w:b/>
          <w:bCs/>
        </w:rPr>
        <w:tab/>
      </w:r>
      <w:r w:rsidR="00DA1441">
        <w:rPr>
          <w:rFonts w:cs="Arial"/>
          <w:b/>
          <w:bCs/>
        </w:rPr>
        <w:t>Audit &amp; Governance Committee</w:t>
      </w:r>
      <w:r>
        <w:rPr>
          <w:rFonts w:cs="Arial"/>
          <w:b/>
          <w:bCs/>
        </w:rPr>
        <w:tab/>
      </w:r>
    </w:p>
    <w:p w:rsidR="00F4367A" w:rsidRDefault="00F4367A">
      <w:pPr>
        <w:rPr>
          <w:rFonts w:cs="Arial"/>
          <w:b/>
          <w:bCs/>
        </w:rPr>
      </w:pPr>
    </w:p>
    <w:p w:rsidR="00F4367A" w:rsidRDefault="00F4367A">
      <w:pPr>
        <w:tabs>
          <w:tab w:val="left" w:pos="2160"/>
          <w:tab w:val="left" w:pos="6300"/>
          <w:tab w:val="left" w:pos="7380"/>
        </w:tabs>
        <w:rPr>
          <w:rFonts w:cs="Arial"/>
          <w:b/>
          <w:bCs/>
        </w:rPr>
      </w:pPr>
      <w:r>
        <w:rPr>
          <w:rFonts w:cs="Arial"/>
          <w:b/>
          <w:bCs/>
        </w:rPr>
        <w:t>Date:</w:t>
      </w:r>
      <w:r w:rsidR="00EA2FDD">
        <w:rPr>
          <w:rFonts w:cs="Arial"/>
          <w:b/>
          <w:bCs/>
        </w:rPr>
        <w:tab/>
      </w:r>
      <w:r w:rsidR="00DA1441">
        <w:rPr>
          <w:rFonts w:cs="Arial"/>
          <w:b/>
          <w:bCs/>
        </w:rPr>
        <w:t>23</w:t>
      </w:r>
      <w:r w:rsidR="00DA1441" w:rsidRPr="00DA1441">
        <w:rPr>
          <w:rFonts w:cs="Arial"/>
          <w:b/>
          <w:bCs/>
          <w:vertAlign w:val="superscript"/>
        </w:rPr>
        <w:t>rd</w:t>
      </w:r>
      <w:r w:rsidR="00DA1441">
        <w:rPr>
          <w:rFonts w:cs="Arial"/>
          <w:b/>
          <w:bCs/>
        </w:rPr>
        <w:t xml:space="preserve"> April 2015</w:t>
      </w:r>
      <w:r>
        <w:rPr>
          <w:rFonts w:cs="Arial"/>
          <w:b/>
          <w:bCs/>
        </w:rPr>
        <w:tab/>
        <w:t xml:space="preserve">       </w:t>
      </w:r>
      <w:r>
        <w:rPr>
          <w:rFonts w:cs="Arial"/>
          <w:b/>
          <w:bCs/>
        </w:rPr>
        <w:tab/>
        <w:t xml:space="preserve">   </w:t>
      </w:r>
      <w:r>
        <w:rPr>
          <w:rFonts w:cs="Arial"/>
          <w:b/>
          <w:bCs/>
        </w:rPr>
        <w:tab/>
      </w:r>
    </w:p>
    <w:p w:rsidR="00F4367A" w:rsidRDefault="00F4367A">
      <w:pPr>
        <w:jc w:val="right"/>
        <w:rPr>
          <w:rFonts w:cs="Arial"/>
          <w:b/>
          <w:bCs/>
        </w:rPr>
      </w:pPr>
    </w:p>
    <w:p w:rsidR="00F4367A" w:rsidRDefault="00F4367A">
      <w:pPr>
        <w:rPr>
          <w:rFonts w:cs="Arial"/>
          <w:b/>
          <w:bCs/>
        </w:rPr>
      </w:pPr>
      <w:r>
        <w:rPr>
          <w:rFonts w:cs="Arial"/>
          <w:b/>
          <w:bCs/>
        </w:rPr>
        <w:t>Report of:</w:t>
      </w:r>
      <w:r w:rsidR="00EA2FDD">
        <w:rPr>
          <w:rFonts w:cs="Arial"/>
          <w:b/>
          <w:bCs/>
        </w:rPr>
        <w:tab/>
      </w:r>
      <w:r w:rsidR="00EA2FDD">
        <w:rPr>
          <w:rFonts w:cs="Arial"/>
          <w:b/>
          <w:bCs/>
        </w:rPr>
        <w:tab/>
        <w:t xml:space="preserve">Head of </w:t>
      </w:r>
      <w:r w:rsidR="00DA1441">
        <w:rPr>
          <w:rFonts w:cs="Arial"/>
          <w:b/>
          <w:bCs/>
        </w:rPr>
        <w:t>Finance</w:t>
      </w:r>
      <w:r>
        <w:rPr>
          <w:rFonts w:cs="Arial"/>
          <w:b/>
          <w:bCs/>
        </w:rPr>
        <w:tab/>
      </w:r>
    </w:p>
    <w:p w:rsidR="00F4367A" w:rsidRDefault="00F4367A">
      <w:pPr>
        <w:tabs>
          <w:tab w:val="left" w:pos="2160"/>
        </w:tabs>
        <w:rPr>
          <w:rFonts w:cs="Arial"/>
          <w:b/>
          <w:bCs/>
        </w:rPr>
      </w:pPr>
    </w:p>
    <w:p w:rsidR="00F4367A" w:rsidRDefault="00F4367A">
      <w:pPr>
        <w:tabs>
          <w:tab w:val="left" w:pos="2160"/>
        </w:tabs>
        <w:rPr>
          <w:rFonts w:cs="Arial"/>
          <w:b/>
          <w:bCs/>
        </w:rPr>
      </w:pPr>
      <w:r>
        <w:rPr>
          <w:rFonts w:cs="Arial"/>
          <w:b/>
          <w:bCs/>
        </w:rPr>
        <w:t>Title of Report:</w:t>
      </w:r>
      <w:r>
        <w:rPr>
          <w:rFonts w:cs="Arial"/>
          <w:b/>
          <w:bCs/>
        </w:rPr>
        <w:tab/>
      </w:r>
      <w:r w:rsidR="00DA1441">
        <w:rPr>
          <w:rFonts w:cs="Arial"/>
          <w:b/>
          <w:bCs/>
        </w:rPr>
        <w:t>Investigation Team Update</w:t>
      </w:r>
    </w:p>
    <w:p w:rsidR="00F4367A" w:rsidRDefault="00F4367A">
      <w:pPr>
        <w:rPr>
          <w:rFonts w:cs="Arial"/>
        </w:rPr>
      </w:pPr>
    </w:p>
    <w:p w:rsidR="00F4367A" w:rsidRDefault="00F4367A" w:rsidP="00514C63">
      <w:pPr>
        <w:pStyle w:val="Heading1"/>
        <w:pBdr>
          <w:top w:val="single" w:sz="4" w:space="1" w:color="auto"/>
          <w:left w:val="single" w:sz="4" w:space="4" w:color="auto"/>
          <w:bottom w:val="single" w:sz="4" w:space="1" w:color="auto"/>
          <w:right w:val="single" w:sz="4" w:space="3" w:color="auto"/>
        </w:pBdr>
        <w:jc w:val="center"/>
        <w:rPr>
          <w:u w:val="single"/>
        </w:rPr>
      </w:pPr>
    </w:p>
    <w:p w:rsidR="00F4367A" w:rsidRDefault="00F4367A" w:rsidP="00514C63">
      <w:pPr>
        <w:pStyle w:val="Heading1"/>
        <w:pBdr>
          <w:top w:val="single" w:sz="4" w:space="1" w:color="auto"/>
          <w:left w:val="single" w:sz="4" w:space="4" w:color="auto"/>
          <w:bottom w:val="single" w:sz="4" w:space="1" w:color="auto"/>
          <w:right w:val="single" w:sz="4" w:space="3" w:color="auto"/>
        </w:pBdr>
        <w:jc w:val="center"/>
        <w:rPr>
          <w:u w:val="single"/>
        </w:rPr>
      </w:pPr>
      <w:r>
        <w:rPr>
          <w:u w:val="single"/>
        </w:rPr>
        <w:t>Summary and Recommendations</w:t>
      </w:r>
    </w:p>
    <w:p w:rsidR="00F4367A" w:rsidRDefault="00F4367A" w:rsidP="00514C63">
      <w:pPr>
        <w:pBdr>
          <w:top w:val="single" w:sz="4" w:space="1" w:color="auto"/>
          <w:left w:val="single" w:sz="4" w:space="4" w:color="auto"/>
          <w:bottom w:val="single" w:sz="4" w:space="1" w:color="auto"/>
          <w:right w:val="single" w:sz="4" w:space="3" w:color="auto"/>
        </w:pBdr>
        <w:rPr>
          <w:rFonts w:cs="Arial"/>
        </w:rPr>
      </w:pPr>
    </w:p>
    <w:p w:rsidR="00DA1441" w:rsidRDefault="00F4367A" w:rsidP="00514C63">
      <w:pPr>
        <w:pBdr>
          <w:top w:val="single" w:sz="4" w:space="1" w:color="auto"/>
          <w:left w:val="single" w:sz="4" w:space="4" w:color="auto"/>
          <w:bottom w:val="single" w:sz="4" w:space="1" w:color="auto"/>
          <w:right w:val="single" w:sz="4" w:space="3" w:color="auto"/>
        </w:pBdr>
        <w:rPr>
          <w:rFonts w:cs="Arial"/>
        </w:rPr>
      </w:pPr>
      <w:r>
        <w:rPr>
          <w:rFonts w:cs="Arial"/>
          <w:b/>
          <w:bCs/>
        </w:rPr>
        <w:t>Purpose of report</w:t>
      </w:r>
      <w:r>
        <w:rPr>
          <w:rFonts w:cs="Arial"/>
        </w:rPr>
        <w:t xml:space="preserve">: </w:t>
      </w:r>
      <w:r w:rsidR="00514C63">
        <w:rPr>
          <w:rFonts w:cs="Arial"/>
        </w:rPr>
        <w:t xml:space="preserve"> </w:t>
      </w:r>
    </w:p>
    <w:p w:rsidR="00514C63" w:rsidRDefault="00DA1441" w:rsidP="00514C63">
      <w:pPr>
        <w:pBdr>
          <w:top w:val="single" w:sz="4" w:space="1" w:color="auto"/>
          <w:left w:val="single" w:sz="4" w:space="4" w:color="auto"/>
          <w:bottom w:val="single" w:sz="4" w:space="1" w:color="auto"/>
          <w:right w:val="single" w:sz="4" w:space="3" w:color="auto"/>
        </w:pBdr>
        <w:rPr>
          <w:rFonts w:cs="Arial"/>
        </w:rPr>
      </w:pPr>
      <w:r>
        <w:rPr>
          <w:rFonts w:cs="Arial"/>
        </w:rPr>
        <w:t xml:space="preserve">1. To report to Members the activity </w:t>
      </w:r>
      <w:r w:rsidR="00514C63">
        <w:rPr>
          <w:rFonts w:cs="Arial"/>
        </w:rPr>
        <w:t xml:space="preserve">and performance </w:t>
      </w:r>
      <w:r>
        <w:rPr>
          <w:rFonts w:cs="Arial"/>
        </w:rPr>
        <w:t>of the Investigation</w:t>
      </w:r>
    </w:p>
    <w:p w:rsidR="00F4367A" w:rsidRDefault="00514C63" w:rsidP="00173F5F">
      <w:pPr>
        <w:pBdr>
          <w:top w:val="single" w:sz="4" w:space="1" w:color="auto"/>
          <w:left w:val="single" w:sz="4" w:space="4" w:color="auto"/>
          <w:bottom w:val="single" w:sz="4" w:space="1" w:color="auto"/>
          <w:right w:val="single" w:sz="4" w:space="3" w:color="auto"/>
        </w:pBdr>
        <w:ind w:left="284" w:hanging="284"/>
        <w:rPr>
          <w:rFonts w:cs="Arial"/>
        </w:rPr>
      </w:pPr>
      <w:r>
        <w:rPr>
          <w:rFonts w:cs="Arial"/>
        </w:rPr>
        <w:t xml:space="preserve">    </w:t>
      </w:r>
      <w:proofErr w:type="gramStart"/>
      <w:r w:rsidR="00DA1441">
        <w:rPr>
          <w:rFonts w:cs="Arial"/>
        </w:rPr>
        <w:t xml:space="preserve">Team for the period 1 April 2014 to </w:t>
      </w:r>
      <w:r>
        <w:rPr>
          <w:rFonts w:cs="Arial"/>
        </w:rPr>
        <w:t xml:space="preserve">31 March 2015, and </w:t>
      </w:r>
      <w:r w:rsidR="005F7ECB">
        <w:rPr>
          <w:rFonts w:cs="Arial"/>
        </w:rPr>
        <w:t>the plans for the development of the Investigation S</w:t>
      </w:r>
      <w:r w:rsidR="006109E8">
        <w:rPr>
          <w:rFonts w:cs="Arial"/>
        </w:rPr>
        <w:t>e</w:t>
      </w:r>
      <w:r w:rsidR="005F7ECB">
        <w:rPr>
          <w:rFonts w:cs="Arial"/>
        </w:rPr>
        <w:t>rvice</w:t>
      </w:r>
      <w:r w:rsidR="000952CD">
        <w:rPr>
          <w:rFonts w:cs="Arial"/>
        </w:rPr>
        <w:t xml:space="preserve"> going forward</w:t>
      </w:r>
      <w:r>
        <w:rPr>
          <w:rFonts w:cs="Arial"/>
        </w:rPr>
        <w:t>.</w:t>
      </w:r>
      <w:proofErr w:type="gramEnd"/>
    </w:p>
    <w:p w:rsidR="00F4367A" w:rsidRDefault="00F4367A" w:rsidP="00514C63">
      <w:pPr>
        <w:pBdr>
          <w:top w:val="single" w:sz="4" w:space="1" w:color="auto"/>
          <w:left w:val="single" w:sz="4" w:space="4" w:color="auto"/>
          <w:bottom w:val="single" w:sz="4" w:space="1" w:color="auto"/>
          <w:right w:val="single" w:sz="4" w:space="3" w:color="auto"/>
        </w:pBd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F4367A" w:rsidRDefault="00623C2F" w:rsidP="00514C63">
      <w:pPr>
        <w:pStyle w:val="Heading1"/>
        <w:pBdr>
          <w:top w:val="single" w:sz="4" w:space="1" w:color="auto"/>
          <w:left w:val="single" w:sz="4" w:space="4" w:color="auto"/>
          <w:bottom w:val="single" w:sz="4" w:space="1" w:color="auto"/>
          <w:right w:val="single" w:sz="4" w:space="3" w:color="auto"/>
        </w:pBdr>
        <w:tabs>
          <w:tab w:val="left" w:pos="3062"/>
        </w:tabs>
        <w:rPr>
          <w:bCs w:val="0"/>
        </w:rPr>
      </w:pPr>
      <w:r>
        <w:rPr>
          <w:bCs w:val="0"/>
        </w:rPr>
        <w:t xml:space="preserve">Key decision </w:t>
      </w:r>
      <w:r w:rsidR="00DA1441" w:rsidRPr="00DA1441">
        <w:rPr>
          <w:b w:val="0"/>
          <w:bCs w:val="0"/>
        </w:rPr>
        <w:t>Yes</w:t>
      </w:r>
    </w:p>
    <w:p w:rsidR="00F4367A" w:rsidRDefault="00F4367A" w:rsidP="00514C63">
      <w:pPr>
        <w:pBdr>
          <w:top w:val="single" w:sz="4" w:space="1" w:color="auto"/>
          <w:left w:val="single" w:sz="4" w:space="4" w:color="auto"/>
          <w:bottom w:val="single" w:sz="4" w:space="1" w:color="auto"/>
          <w:right w:val="single" w:sz="4" w:space="3" w:color="auto"/>
        </w:pBdr>
        <w:rPr>
          <w:rFonts w:cs="Arial"/>
        </w:rPr>
      </w:pPr>
    </w:p>
    <w:p w:rsidR="00F4367A" w:rsidRDefault="00F4367A" w:rsidP="00514C63">
      <w:pPr>
        <w:pBdr>
          <w:top w:val="single" w:sz="4" w:space="1" w:color="auto"/>
          <w:left w:val="single" w:sz="4" w:space="4" w:color="auto"/>
          <w:bottom w:val="single" w:sz="4" w:space="1" w:color="auto"/>
          <w:right w:val="single" w:sz="4" w:space="3" w:color="auto"/>
        </w:pBdr>
        <w:rPr>
          <w:rFonts w:cs="Arial"/>
          <w:b/>
          <w:bCs/>
        </w:rPr>
      </w:pPr>
      <w:r>
        <w:rPr>
          <w:rFonts w:cs="Arial"/>
          <w:b/>
          <w:bCs/>
        </w:rPr>
        <w:t xml:space="preserve">Executive lead member: </w:t>
      </w:r>
      <w:r w:rsidR="00514C63" w:rsidRPr="00514C63">
        <w:rPr>
          <w:rFonts w:cs="Arial"/>
          <w:bCs/>
        </w:rPr>
        <w:t>Councillor Ed Turner</w:t>
      </w:r>
    </w:p>
    <w:p w:rsidR="00F4367A" w:rsidRDefault="00F4367A" w:rsidP="00514C63">
      <w:pPr>
        <w:pStyle w:val="Heading1"/>
        <w:pBdr>
          <w:top w:val="single" w:sz="4" w:space="1" w:color="auto"/>
          <w:left w:val="single" w:sz="4" w:space="4" w:color="auto"/>
          <w:bottom w:val="single" w:sz="4" w:space="1" w:color="auto"/>
          <w:right w:val="single" w:sz="4" w:space="3" w:color="auto"/>
        </w:pBdr>
      </w:pPr>
    </w:p>
    <w:p w:rsidR="00F4367A" w:rsidRDefault="00F4367A" w:rsidP="00514C63">
      <w:pPr>
        <w:pBdr>
          <w:top w:val="single" w:sz="4" w:space="1" w:color="auto"/>
          <w:left w:val="single" w:sz="4" w:space="4" w:color="auto"/>
          <w:bottom w:val="single" w:sz="4" w:space="1" w:color="auto"/>
          <w:right w:val="single" w:sz="4" w:space="3" w:color="auto"/>
        </w:pBdr>
        <w:rPr>
          <w:rFonts w:cs="Arial"/>
          <w:b/>
          <w:bCs/>
        </w:rPr>
      </w:pPr>
      <w:r>
        <w:rPr>
          <w:rFonts w:cs="Arial"/>
          <w:b/>
          <w:bCs/>
        </w:rPr>
        <w:t xml:space="preserve">Policy Framework: </w:t>
      </w:r>
      <w:r w:rsidR="00514C63" w:rsidRPr="00514C63">
        <w:rPr>
          <w:rFonts w:cs="Arial"/>
          <w:bCs/>
        </w:rPr>
        <w:t>None</w:t>
      </w:r>
    </w:p>
    <w:p w:rsidR="00F4367A" w:rsidRDefault="00F4367A" w:rsidP="00514C63">
      <w:pPr>
        <w:pStyle w:val="Heading1"/>
        <w:pBdr>
          <w:top w:val="single" w:sz="4" w:space="1" w:color="auto"/>
          <w:left w:val="single" w:sz="4" w:space="4" w:color="auto"/>
          <w:bottom w:val="single" w:sz="4" w:space="1" w:color="auto"/>
          <w:right w:val="single" w:sz="4" w:space="3" w:color="auto"/>
        </w:pBdr>
      </w:pPr>
    </w:p>
    <w:p w:rsidR="00F4367A" w:rsidRDefault="00F4367A" w:rsidP="00514C63">
      <w:pPr>
        <w:pBdr>
          <w:top w:val="single" w:sz="4" w:space="1" w:color="auto"/>
          <w:left w:val="single" w:sz="4" w:space="4" w:color="auto"/>
          <w:bottom w:val="single" w:sz="4" w:space="1" w:color="auto"/>
          <w:right w:val="single" w:sz="4" w:space="3" w:color="auto"/>
        </w:pBdr>
        <w:tabs>
          <w:tab w:val="left" w:pos="3048"/>
        </w:tabs>
        <w:rPr>
          <w:rFonts w:cs="Arial"/>
          <w:b/>
        </w:rPr>
      </w:pPr>
      <w:r>
        <w:rPr>
          <w:rFonts w:cs="Arial"/>
          <w:b/>
        </w:rPr>
        <w:t xml:space="preserve">Recommendation(s): </w:t>
      </w:r>
      <w:r w:rsidR="00514C63" w:rsidRPr="00514C63">
        <w:rPr>
          <w:rFonts w:cs="Arial"/>
        </w:rPr>
        <w:t>That the report be noted</w:t>
      </w:r>
      <w:r>
        <w:rPr>
          <w:rFonts w:cs="Arial"/>
          <w:b/>
        </w:rPr>
        <w:tab/>
      </w:r>
    </w:p>
    <w:p w:rsidR="00F4367A" w:rsidRDefault="00F4367A" w:rsidP="00514C63">
      <w:pPr>
        <w:pBdr>
          <w:top w:val="single" w:sz="4" w:space="1" w:color="auto"/>
          <w:left w:val="single" w:sz="4" w:space="4" w:color="auto"/>
          <w:bottom w:val="single" w:sz="4" w:space="1" w:color="auto"/>
          <w:right w:val="single" w:sz="4" w:space="3" w:color="auto"/>
        </w:pBdr>
        <w:tabs>
          <w:tab w:val="left" w:pos="3048"/>
        </w:tabs>
        <w:rPr>
          <w:rFonts w:cs="Arial"/>
          <w:b/>
        </w:rPr>
      </w:pPr>
    </w:p>
    <w:p w:rsidR="00F4367A" w:rsidRDefault="00F4367A">
      <w:pPr>
        <w:rPr>
          <w:rFonts w:cs="Arial"/>
        </w:rPr>
      </w:pPr>
    </w:p>
    <w:p w:rsidR="007B6E54" w:rsidRDefault="00713675" w:rsidP="00E55FA1">
      <w:pPr>
        <w:rPr>
          <w:rFonts w:cs="Arial"/>
        </w:rPr>
      </w:pPr>
      <w:r w:rsidRPr="007B6E54">
        <w:rPr>
          <w:rFonts w:cs="Arial"/>
          <w:b/>
        </w:rPr>
        <w:t>Appendices</w:t>
      </w:r>
      <w:r>
        <w:rPr>
          <w:rFonts w:cs="Arial"/>
        </w:rPr>
        <w:t xml:space="preserve"> </w:t>
      </w:r>
    </w:p>
    <w:p w:rsidR="00E55FA1" w:rsidRDefault="00E55FA1" w:rsidP="00E55FA1">
      <w:pPr>
        <w:rPr>
          <w:rFonts w:cs="Arial"/>
        </w:rPr>
      </w:pPr>
    </w:p>
    <w:p w:rsidR="00E55FA1" w:rsidRDefault="00E55FA1" w:rsidP="00E55FA1">
      <w:pPr>
        <w:jc w:val="both"/>
      </w:pPr>
      <w:r>
        <w:t>Appendix 1 – Internal Investigations – Exempt from publication</w:t>
      </w:r>
    </w:p>
    <w:p w:rsidR="00E55FA1" w:rsidRDefault="00E55FA1" w:rsidP="00E55FA1">
      <w:pPr>
        <w:rPr>
          <w:rFonts w:cs="Arial"/>
          <w:i/>
        </w:rPr>
      </w:pPr>
    </w:p>
    <w:p w:rsidR="006E3B55" w:rsidRDefault="006E3B55">
      <w:pPr>
        <w:rPr>
          <w:rFonts w:cs="Arial"/>
          <w:b/>
        </w:rPr>
      </w:pPr>
    </w:p>
    <w:p w:rsidR="007B6E54" w:rsidRDefault="00302A89">
      <w:pPr>
        <w:rPr>
          <w:rFonts w:cs="Arial"/>
          <w:b/>
        </w:rPr>
      </w:pPr>
      <w:r>
        <w:rPr>
          <w:rFonts w:cs="Arial"/>
          <w:b/>
        </w:rPr>
        <w:t xml:space="preserve">      </w:t>
      </w:r>
      <w:bookmarkStart w:id="0" w:name="_GoBack"/>
      <w:bookmarkEnd w:id="0"/>
      <w:r w:rsidR="007B6E54">
        <w:rPr>
          <w:rFonts w:cs="Arial"/>
          <w:b/>
        </w:rPr>
        <w:t>Background</w:t>
      </w:r>
    </w:p>
    <w:p w:rsidR="007B6E54" w:rsidRDefault="007B6E54">
      <w:pPr>
        <w:rPr>
          <w:rFonts w:cs="Arial"/>
          <w:b/>
        </w:rPr>
      </w:pPr>
    </w:p>
    <w:p w:rsidR="00E55FA1" w:rsidRPr="005512A2" w:rsidRDefault="005512A2" w:rsidP="005512A2">
      <w:pPr>
        <w:pStyle w:val="ListParagraph"/>
        <w:numPr>
          <w:ilvl w:val="0"/>
          <w:numId w:val="2"/>
        </w:numPr>
        <w:rPr>
          <w:rFonts w:cs="Arial"/>
        </w:rPr>
      </w:pPr>
      <w:r w:rsidRPr="005512A2">
        <w:rPr>
          <w:rFonts w:cs="Arial"/>
        </w:rPr>
        <w:t>The remit of the Investigation Team is to protect Oxford City Council against fraud through prevention, detection, deterrence and redress.</w:t>
      </w:r>
      <w:r>
        <w:rPr>
          <w:rFonts w:cs="Arial"/>
        </w:rPr>
        <w:t xml:space="preserve"> Minimising losses through fraud provides increased assurance that resources within the Council are being u</w:t>
      </w:r>
      <w:r w:rsidR="00744526">
        <w:rPr>
          <w:rFonts w:cs="Arial"/>
        </w:rPr>
        <w:t>sed for their intended purpose and that public funds are protected.</w:t>
      </w:r>
    </w:p>
    <w:p w:rsidR="00E55FA1" w:rsidRDefault="00E55FA1">
      <w:pPr>
        <w:rPr>
          <w:rFonts w:cs="Arial"/>
          <w:b/>
        </w:rPr>
      </w:pPr>
    </w:p>
    <w:p w:rsidR="00E55FA1" w:rsidRDefault="00E55FA1">
      <w:pPr>
        <w:rPr>
          <w:rFonts w:cs="Arial"/>
          <w:b/>
        </w:rPr>
      </w:pPr>
    </w:p>
    <w:p w:rsidR="00AA3834" w:rsidRDefault="00AA3834">
      <w:pPr>
        <w:rPr>
          <w:rFonts w:cs="Arial"/>
          <w:b/>
        </w:rPr>
      </w:pPr>
    </w:p>
    <w:p w:rsidR="00AA3834" w:rsidRDefault="00AA3834">
      <w:pPr>
        <w:rPr>
          <w:rFonts w:cs="Arial"/>
          <w:b/>
        </w:rPr>
      </w:pPr>
    </w:p>
    <w:p w:rsidR="002A48DC" w:rsidRPr="002A48DC" w:rsidRDefault="00302A89" w:rsidP="002A48DC">
      <w:pPr>
        <w:autoSpaceDE w:val="0"/>
        <w:autoSpaceDN w:val="0"/>
        <w:adjustRightInd w:val="0"/>
        <w:jc w:val="both"/>
        <w:rPr>
          <w:rFonts w:cs="Arial"/>
          <w:b/>
          <w:lang w:eastAsia="en-GB"/>
        </w:rPr>
      </w:pPr>
      <w:r>
        <w:rPr>
          <w:rFonts w:cs="Arial"/>
          <w:b/>
          <w:lang w:eastAsia="en-GB"/>
        </w:rPr>
        <w:lastRenderedPageBreak/>
        <w:t xml:space="preserve">      </w:t>
      </w:r>
      <w:r w:rsidR="002A48DC">
        <w:rPr>
          <w:rFonts w:cs="Arial"/>
          <w:b/>
          <w:lang w:eastAsia="en-GB"/>
        </w:rPr>
        <w:t>Performance</w:t>
      </w:r>
    </w:p>
    <w:p w:rsidR="002A48DC" w:rsidRPr="002A48DC" w:rsidRDefault="002A48DC" w:rsidP="002A48DC">
      <w:pPr>
        <w:autoSpaceDE w:val="0"/>
        <w:autoSpaceDN w:val="0"/>
        <w:adjustRightInd w:val="0"/>
        <w:jc w:val="both"/>
        <w:rPr>
          <w:rFonts w:cs="Arial"/>
          <w:lang w:eastAsia="en-GB"/>
        </w:rPr>
      </w:pPr>
    </w:p>
    <w:p w:rsidR="00036F46" w:rsidRPr="00036F46" w:rsidRDefault="00036F46" w:rsidP="00036F46">
      <w:pPr>
        <w:pStyle w:val="ListParagraph"/>
        <w:numPr>
          <w:ilvl w:val="0"/>
          <w:numId w:val="2"/>
        </w:numPr>
        <w:autoSpaceDE w:val="0"/>
        <w:autoSpaceDN w:val="0"/>
        <w:adjustRightInd w:val="0"/>
        <w:jc w:val="both"/>
        <w:rPr>
          <w:rFonts w:cs="Arial"/>
          <w:lang w:eastAsia="en-GB"/>
        </w:rPr>
      </w:pPr>
      <w:r w:rsidRPr="00036F46">
        <w:rPr>
          <w:rFonts w:cs="Arial"/>
        </w:rPr>
        <w:t xml:space="preserve">There are two Service Performance Indicators </w:t>
      </w:r>
      <w:r w:rsidRPr="00036F46">
        <w:rPr>
          <w:rFonts w:cs="Arial"/>
          <w:lang w:eastAsia="en-GB"/>
        </w:rPr>
        <w:t xml:space="preserve">which are used to track performance on a monthly basis. Performance </w:t>
      </w:r>
      <w:r w:rsidR="004C71E8">
        <w:rPr>
          <w:rFonts w:cs="Arial"/>
          <w:lang w:eastAsia="en-GB"/>
        </w:rPr>
        <w:t xml:space="preserve">against these targets </w:t>
      </w:r>
      <w:r w:rsidRPr="00036F46">
        <w:rPr>
          <w:rFonts w:cs="Arial"/>
          <w:lang w:eastAsia="en-GB"/>
        </w:rPr>
        <w:t xml:space="preserve">for the </w:t>
      </w:r>
      <w:r w:rsidR="00054FBB">
        <w:rPr>
          <w:rFonts w:cs="Arial"/>
          <w:lang w:eastAsia="en-GB"/>
        </w:rPr>
        <w:t>financial year ending 31</w:t>
      </w:r>
      <w:r w:rsidR="00054FBB" w:rsidRPr="00054FBB">
        <w:rPr>
          <w:rFonts w:cs="Arial"/>
          <w:vertAlign w:val="superscript"/>
          <w:lang w:eastAsia="en-GB"/>
        </w:rPr>
        <w:t>st</w:t>
      </w:r>
      <w:r w:rsidR="00054FBB">
        <w:rPr>
          <w:rFonts w:cs="Arial"/>
          <w:lang w:eastAsia="en-GB"/>
        </w:rPr>
        <w:t xml:space="preserve"> March 2015 is shown in the table below</w:t>
      </w:r>
      <w:r w:rsidRPr="00036F46">
        <w:rPr>
          <w:rFonts w:cs="Arial"/>
          <w:lang w:eastAsia="en-GB"/>
        </w:rPr>
        <w:t xml:space="preserve">. </w:t>
      </w:r>
    </w:p>
    <w:p w:rsidR="00036F46" w:rsidRDefault="00036F46" w:rsidP="00036F46">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28"/>
        <w:gridCol w:w="1284"/>
        <w:gridCol w:w="3917"/>
      </w:tblGrid>
      <w:tr w:rsidR="00054FBB" w:rsidRPr="002A332E" w:rsidTr="00293121">
        <w:tc>
          <w:tcPr>
            <w:tcW w:w="8414" w:type="dxa"/>
            <w:gridSpan w:val="4"/>
            <w:shd w:val="clear" w:color="auto" w:fill="548DD4"/>
          </w:tcPr>
          <w:p w:rsidR="00054FBB" w:rsidRPr="002A332E" w:rsidRDefault="005F7ECB" w:rsidP="005F7ECB">
            <w:pPr>
              <w:autoSpaceDE w:val="0"/>
              <w:autoSpaceDN w:val="0"/>
              <w:adjustRightInd w:val="0"/>
              <w:rPr>
                <w:rFonts w:cs="Arial"/>
                <w:b/>
                <w:lang w:eastAsia="en-GB"/>
              </w:rPr>
            </w:pPr>
            <w:r>
              <w:rPr>
                <w:rFonts w:cs="Arial"/>
                <w:b/>
                <w:lang w:eastAsia="en-GB"/>
              </w:rPr>
              <w:t>Table 1 :</w:t>
            </w:r>
            <w:r w:rsidR="00054FBB">
              <w:rPr>
                <w:rFonts w:cs="Arial"/>
                <w:b/>
                <w:lang w:eastAsia="en-GB"/>
              </w:rPr>
              <w:t>Investigations Team Performance for the Financial Year 2014/15</w:t>
            </w:r>
          </w:p>
        </w:tc>
      </w:tr>
      <w:tr w:rsidR="00054FBB" w:rsidRPr="002A332E" w:rsidTr="00D567E2">
        <w:tc>
          <w:tcPr>
            <w:tcW w:w="1985" w:type="dxa"/>
            <w:shd w:val="clear" w:color="auto" w:fill="548DD4"/>
          </w:tcPr>
          <w:p w:rsidR="00054FBB" w:rsidRPr="002A332E" w:rsidRDefault="00054FBB" w:rsidP="00293121">
            <w:pPr>
              <w:autoSpaceDE w:val="0"/>
              <w:autoSpaceDN w:val="0"/>
              <w:adjustRightInd w:val="0"/>
              <w:jc w:val="center"/>
              <w:rPr>
                <w:rFonts w:cs="Arial"/>
                <w:b/>
                <w:lang w:eastAsia="en-GB"/>
              </w:rPr>
            </w:pPr>
            <w:r w:rsidRPr="002A332E">
              <w:rPr>
                <w:rFonts w:cs="Arial"/>
                <w:b/>
                <w:lang w:eastAsia="en-GB"/>
              </w:rPr>
              <w:t>Measure</w:t>
            </w:r>
          </w:p>
          <w:p w:rsidR="00054FBB" w:rsidRPr="002A332E" w:rsidRDefault="00054FBB" w:rsidP="00293121">
            <w:pPr>
              <w:autoSpaceDE w:val="0"/>
              <w:autoSpaceDN w:val="0"/>
              <w:adjustRightInd w:val="0"/>
              <w:jc w:val="center"/>
              <w:rPr>
                <w:rFonts w:cs="Arial"/>
                <w:b/>
                <w:lang w:eastAsia="en-GB"/>
              </w:rPr>
            </w:pPr>
          </w:p>
        </w:tc>
        <w:tc>
          <w:tcPr>
            <w:tcW w:w="1228" w:type="dxa"/>
            <w:shd w:val="clear" w:color="auto" w:fill="548DD4"/>
          </w:tcPr>
          <w:p w:rsidR="00054FBB" w:rsidRDefault="00054FBB" w:rsidP="00293121">
            <w:pPr>
              <w:autoSpaceDE w:val="0"/>
              <w:autoSpaceDN w:val="0"/>
              <w:adjustRightInd w:val="0"/>
              <w:jc w:val="center"/>
              <w:rPr>
                <w:rFonts w:cs="Arial"/>
                <w:b/>
                <w:lang w:eastAsia="en-GB"/>
              </w:rPr>
            </w:pPr>
            <w:r>
              <w:rPr>
                <w:rFonts w:cs="Arial"/>
                <w:b/>
                <w:lang w:eastAsia="en-GB"/>
              </w:rPr>
              <w:t>Annual Target</w:t>
            </w:r>
          </w:p>
        </w:tc>
        <w:tc>
          <w:tcPr>
            <w:tcW w:w="1284" w:type="dxa"/>
            <w:shd w:val="clear" w:color="auto" w:fill="548DD4"/>
          </w:tcPr>
          <w:p w:rsidR="00054FBB" w:rsidRPr="002A332E" w:rsidRDefault="00D567E2" w:rsidP="00293121">
            <w:pPr>
              <w:autoSpaceDE w:val="0"/>
              <w:autoSpaceDN w:val="0"/>
              <w:adjustRightInd w:val="0"/>
              <w:jc w:val="center"/>
              <w:rPr>
                <w:rFonts w:cs="Arial"/>
                <w:b/>
                <w:lang w:eastAsia="en-GB"/>
              </w:rPr>
            </w:pPr>
            <w:r>
              <w:rPr>
                <w:rFonts w:cs="Arial"/>
                <w:b/>
                <w:lang w:eastAsia="en-GB"/>
              </w:rPr>
              <w:t>Achieved</w:t>
            </w:r>
          </w:p>
        </w:tc>
        <w:tc>
          <w:tcPr>
            <w:tcW w:w="3917" w:type="dxa"/>
            <w:shd w:val="clear" w:color="auto" w:fill="548DD4"/>
          </w:tcPr>
          <w:p w:rsidR="00054FBB" w:rsidRPr="002A332E" w:rsidRDefault="00054FBB" w:rsidP="00293121">
            <w:pPr>
              <w:autoSpaceDE w:val="0"/>
              <w:autoSpaceDN w:val="0"/>
              <w:adjustRightInd w:val="0"/>
              <w:jc w:val="center"/>
              <w:rPr>
                <w:rFonts w:cs="Arial"/>
                <w:b/>
                <w:lang w:eastAsia="en-GB"/>
              </w:rPr>
            </w:pPr>
            <w:r w:rsidRPr="002A332E">
              <w:rPr>
                <w:rFonts w:cs="Arial"/>
                <w:b/>
                <w:lang w:eastAsia="en-GB"/>
              </w:rPr>
              <w:t>Comment</w:t>
            </w:r>
          </w:p>
        </w:tc>
      </w:tr>
      <w:tr w:rsidR="00054FBB" w:rsidRPr="002A332E" w:rsidTr="00D567E2">
        <w:tc>
          <w:tcPr>
            <w:tcW w:w="1985" w:type="dxa"/>
            <w:shd w:val="clear" w:color="auto" w:fill="auto"/>
          </w:tcPr>
          <w:p w:rsidR="00054FBB" w:rsidRPr="002A332E" w:rsidRDefault="00054FBB" w:rsidP="00293121">
            <w:pPr>
              <w:autoSpaceDE w:val="0"/>
              <w:autoSpaceDN w:val="0"/>
              <w:adjustRightInd w:val="0"/>
              <w:rPr>
                <w:rFonts w:cs="Arial"/>
                <w:lang w:eastAsia="en-GB"/>
              </w:rPr>
            </w:pPr>
            <w:r w:rsidRPr="00365161">
              <w:rPr>
                <w:bCs/>
              </w:rPr>
              <w:t>Number of returned Social Housing dwellings through civil and criminal proceedings</w:t>
            </w:r>
            <w:r w:rsidRPr="002A332E">
              <w:rPr>
                <w:rFonts w:cs="Arial"/>
                <w:lang w:eastAsia="en-GB"/>
              </w:rPr>
              <w:t>.</w:t>
            </w:r>
          </w:p>
          <w:p w:rsidR="00054FBB" w:rsidRPr="002A332E" w:rsidRDefault="00054FBB" w:rsidP="00293121">
            <w:pPr>
              <w:autoSpaceDE w:val="0"/>
              <w:autoSpaceDN w:val="0"/>
              <w:adjustRightInd w:val="0"/>
              <w:rPr>
                <w:rFonts w:cs="Arial"/>
                <w:lang w:eastAsia="en-GB"/>
              </w:rPr>
            </w:pPr>
          </w:p>
        </w:tc>
        <w:tc>
          <w:tcPr>
            <w:tcW w:w="1228" w:type="dxa"/>
          </w:tcPr>
          <w:p w:rsidR="00054FBB" w:rsidRDefault="00054FBB" w:rsidP="00293121">
            <w:pPr>
              <w:autoSpaceDE w:val="0"/>
              <w:autoSpaceDN w:val="0"/>
              <w:adjustRightInd w:val="0"/>
              <w:jc w:val="center"/>
              <w:rPr>
                <w:rFonts w:cs="Arial"/>
                <w:lang w:eastAsia="en-GB"/>
              </w:rPr>
            </w:pPr>
            <w:r>
              <w:rPr>
                <w:rFonts w:cs="Arial"/>
                <w:lang w:eastAsia="en-GB"/>
              </w:rPr>
              <w:t>20</w:t>
            </w:r>
          </w:p>
        </w:tc>
        <w:tc>
          <w:tcPr>
            <w:tcW w:w="1284" w:type="dxa"/>
            <w:shd w:val="clear" w:color="auto" w:fill="auto"/>
          </w:tcPr>
          <w:p w:rsidR="00054FBB" w:rsidRPr="002A332E" w:rsidRDefault="00054FBB" w:rsidP="00293121">
            <w:pPr>
              <w:autoSpaceDE w:val="0"/>
              <w:autoSpaceDN w:val="0"/>
              <w:adjustRightInd w:val="0"/>
              <w:jc w:val="center"/>
              <w:rPr>
                <w:rFonts w:cs="Arial"/>
                <w:lang w:eastAsia="en-GB"/>
              </w:rPr>
            </w:pPr>
            <w:r>
              <w:rPr>
                <w:rFonts w:cs="Arial"/>
                <w:lang w:eastAsia="en-GB"/>
              </w:rPr>
              <w:t>15</w:t>
            </w:r>
          </w:p>
        </w:tc>
        <w:tc>
          <w:tcPr>
            <w:tcW w:w="3917" w:type="dxa"/>
            <w:shd w:val="clear" w:color="auto" w:fill="auto"/>
          </w:tcPr>
          <w:p w:rsidR="00054FBB" w:rsidRDefault="00054FBB" w:rsidP="00293121">
            <w:pPr>
              <w:autoSpaceDE w:val="0"/>
              <w:autoSpaceDN w:val="0"/>
              <w:adjustRightInd w:val="0"/>
              <w:rPr>
                <w:rFonts w:cs="Arial"/>
                <w:lang w:eastAsia="en-GB"/>
              </w:rPr>
            </w:pPr>
            <w:r w:rsidRPr="002A332E">
              <w:rPr>
                <w:rFonts w:cs="Arial"/>
                <w:lang w:eastAsia="en-GB"/>
              </w:rPr>
              <w:t xml:space="preserve">The </w:t>
            </w:r>
            <w:r w:rsidR="00A7547B">
              <w:rPr>
                <w:rFonts w:cs="Arial"/>
                <w:lang w:eastAsia="en-GB"/>
              </w:rPr>
              <w:t xml:space="preserve">performance is below target for a number of reasons </w:t>
            </w:r>
          </w:p>
          <w:p w:rsidR="00054FBB" w:rsidRDefault="00054FBB">
            <w:pPr>
              <w:numPr>
                <w:ilvl w:val="0"/>
                <w:numId w:val="4"/>
              </w:numPr>
              <w:autoSpaceDE w:val="0"/>
              <w:autoSpaceDN w:val="0"/>
              <w:adjustRightInd w:val="0"/>
              <w:ind w:left="295" w:hanging="283"/>
              <w:rPr>
                <w:rFonts w:cs="Arial"/>
                <w:lang w:eastAsia="en-GB"/>
              </w:rPr>
            </w:pPr>
            <w:r>
              <w:rPr>
                <w:rFonts w:cs="Arial"/>
                <w:lang w:eastAsia="en-GB"/>
              </w:rPr>
              <w:t>Staff</w:t>
            </w:r>
            <w:r w:rsidR="0084231F">
              <w:rPr>
                <w:rFonts w:cs="Arial"/>
                <w:lang w:eastAsia="en-GB"/>
              </w:rPr>
              <w:t>ing issues</w:t>
            </w:r>
            <w:r>
              <w:rPr>
                <w:rFonts w:cs="Arial"/>
                <w:lang w:eastAsia="en-GB"/>
              </w:rPr>
              <w:t xml:space="preserve"> </w:t>
            </w:r>
          </w:p>
          <w:p w:rsidR="00054FBB" w:rsidRDefault="00054FBB" w:rsidP="00054FBB">
            <w:pPr>
              <w:numPr>
                <w:ilvl w:val="0"/>
                <w:numId w:val="4"/>
              </w:numPr>
              <w:autoSpaceDE w:val="0"/>
              <w:autoSpaceDN w:val="0"/>
              <w:adjustRightInd w:val="0"/>
              <w:ind w:left="295" w:hanging="283"/>
              <w:rPr>
                <w:rFonts w:cs="Arial"/>
                <w:lang w:eastAsia="en-GB"/>
              </w:rPr>
            </w:pPr>
            <w:r>
              <w:rPr>
                <w:rFonts w:cs="Arial"/>
                <w:lang w:eastAsia="en-GB"/>
              </w:rPr>
              <w:t>Lower than anticipated number of returned properties in tenancy amnesty</w:t>
            </w:r>
          </w:p>
          <w:p w:rsidR="00054FBB" w:rsidRPr="00365161" w:rsidRDefault="0084231F" w:rsidP="00647D15">
            <w:pPr>
              <w:autoSpaceDE w:val="0"/>
              <w:autoSpaceDN w:val="0"/>
              <w:adjustRightInd w:val="0"/>
              <w:rPr>
                <w:rFonts w:cs="Arial"/>
                <w:lang w:eastAsia="en-GB"/>
              </w:rPr>
            </w:pPr>
            <w:r>
              <w:rPr>
                <w:rFonts w:cs="Arial"/>
                <w:lang w:eastAsia="en-GB"/>
              </w:rPr>
              <w:t>However, t</w:t>
            </w:r>
            <w:r w:rsidR="00A7547B">
              <w:rPr>
                <w:rFonts w:cs="Arial"/>
                <w:lang w:eastAsia="en-GB"/>
              </w:rPr>
              <w:t>here are 14 properties  under notice or with L</w:t>
            </w:r>
            <w:r w:rsidR="00AA3834">
              <w:rPr>
                <w:rFonts w:cs="Arial"/>
                <w:lang w:eastAsia="en-GB"/>
              </w:rPr>
              <w:t>egal Services within L</w:t>
            </w:r>
            <w:r w:rsidR="00A7547B">
              <w:rPr>
                <w:rFonts w:cs="Arial"/>
                <w:lang w:eastAsia="en-GB"/>
              </w:rPr>
              <w:t xml:space="preserve">aw and Governance pending repossession </w:t>
            </w:r>
          </w:p>
        </w:tc>
      </w:tr>
      <w:tr w:rsidR="00054FBB" w:rsidRPr="002A332E" w:rsidTr="00D567E2">
        <w:tc>
          <w:tcPr>
            <w:tcW w:w="1985" w:type="dxa"/>
            <w:shd w:val="clear" w:color="auto" w:fill="auto"/>
          </w:tcPr>
          <w:p w:rsidR="00054FBB" w:rsidRPr="00365161" w:rsidRDefault="00054FBB" w:rsidP="00293121">
            <w:pPr>
              <w:autoSpaceDE w:val="0"/>
              <w:autoSpaceDN w:val="0"/>
              <w:adjustRightInd w:val="0"/>
              <w:rPr>
                <w:rFonts w:cs="Arial"/>
                <w:lang w:eastAsia="en-GB"/>
              </w:rPr>
            </w:pPr>
            <w:r w:rsidRPr="00365161">
              <w:rPr>
                <w:bCs/>
              </w:rPr>
              <w:t>Number of successful  outcomes, increasing revenue for Council Tax and Business Rates</w:t>
            </w:r>
            <w:r w:rsidRPr="00365161">
              <w:rPr>
                <w:rFonts w:cs="Arial"/>
                <w:lang w:eastAsia="en-GB"/>
              </w:rPr>
              <w:t xml:space="preserve"> </w:t>
            </w:r>
          </w:p>
        </w:tc>
        <w:tc>
          <w:tcPr>
            <w:tcW w:w="1228" w:type="dxa"/>
          </w:tcPr>
          <w:p w:rsidR="00054FBB" w:rsidRDefault="00054FBB" w:rsidP="00293121">
            <w:pPr>
              <w:autoSpaceDE w:val="0"/>
              <w:autoSpaceDN w:val="0"/>
              <w:adjustRightInd w:val="0"/>
              <w:jc w:val="center"/>
              <w:rPr>
                <w:rFonts w:cs="Arial"/>
                <w:lang w:eastAsia="en-GB"/>
              </w:rPr>
            </w:pPr>
            <w:r>
              <w:rPr>
                <w:rFonts w:cs="Arial"/>
                <w:lang w:eastAsia="en-GB"/>
              </w:rPr>
              <w:t>240</w:t>
            </w:r>
          </w:p>
        </w:tc>
        <w:tc>
          <w:tcPr>
            <w:tcW w:w="1284" w:type="dxa"/>
            <w:shd w:val="clear" w:color="auto" w:fill="auto"/>
          </w:tcPr>
          <w:p w:rsidR="00054FBB" w:rsidRPr="002A332E" w:rsidRDefault="00054FBB" w:rsidP="00293121">
            <w:pPr>
              <w:autoSpaceDE w:val="0"/>
              <w:autoSpaceDN w:val="0"/>
              <w:adjustRightInd w:val="0"/>
              <w:jc w:val="center"/>
              <w:rPr>
                <w:rFonts w:cs="Arial"/>
                <w:lang w:eastAsia="en-GB"/>
              </w:rPr>
            </w:pPr>
            <w:r>
              <w:rPr>
                <w:rFonts w:cs="Arial"/>
                <w:lang w:eastAsia="en-GB"/>
              </w:rPr>
              <w:t>1</w:t>
            </w:r>
            <w:r w:rsidR="00BF6592">
              <w:rPr>
                <w:rFonts w:cs="Arial"/>
                <w:lang w:eastAsia="en-GB"/>
              </w:rPr>
              <w:t>30</w:t>
            </w:r>
          </w:p>
        </w:tc>
        <w:tc>
          <w:tcPr>
            <w:tcW w:w="3917" w:type="dxa"/>
            <w:shd w:val="clear" w:color="auto" w:fill="auto"/>
          </w:tcPr>
          <w:p w:rsidR="00D567E2" w:rsidRDefault="00B72E63" w:rsidP="00647D15">
            <w:pPr>
              <w:autoSpaceDE w:val="0"/>
              <w:autoSpaceDN w:val="0"/>
              <w:adjustRightInd w:val="0"/>
              <w:ind w:left="295"/>
              <w:rPr>
                <w:rFonts w:cs="Arial"/>
                <w:lang w:eastAsia="en-GB"/>
              </w:rPr>
            </w:pPr>
            <w:r>
              <w:rPr>
                <w:rFonts w:cs="Arial"/>
                <w:lang w:eastAsia="en-GB"/>
              </w:rPr>
              <w:t>This was a n</w:t>
            </w:r>
            <w:r w:rsidR="00D567E2">
              <w:rPr>
                <w:rFonts w:cs="Arial"/>
                <w:lang w:eastAsia="en-GB"/>
              </w:rPr>
              <w:t>ew area of work for team</w:t>
            </w:r>
            <w:r>
              <w:rPr>
                <w:rFonts w:cs="Arial"/>
                <w:lang w:eastAsia="en-GB"/>
              </w:rPr>
              <w:t xml:space="preserve"> in 14/15 and a</w:t>
            </w:r>
            <w:r w:rsidR="00D567E2">
              <w:rPr>
                <w:rFonts w:cs="Arial"/>
                <w:lang w:eastAsia="en-GB"/>
              </w:rPr>
              <w:t>ctivity increased in second half of year</w:t>
            </w:r>
            <w:r>
              <w:rPr>
                <w:rFonts w:cs="Arial"/>
                <w:lang w:eastAsia="en-GB"/>
              </w:rPr>
              <w:t>.</w:t>
            </w:r>
          </w:p>
          <w:p w:rsidR="00D567E2" w:rsidRDefault="00BF6592" w:rsidP="00BF6592">
            <w:pPr>
              <w:numPr>
                <w:ilvl w:val="0"/>
                <w:numId w:val="4"/>
              </w:numPr>
              <w:autoSpaceDE w:val="0"/>
              <w:autoSpaceDN w:val="0"/>
              <w:adjustRightInd w:val="0"/>
              <w:ind w:left="295" w:hanging="283"/>
              <w:rPr>
                <w:rFonts w:cs="Arial"/>
                <w:lang w:eastAsia="en-GB"/>
              </w:rPr>
            </w:pPr>
            <w:r>
              <w:rPr>
                <w:rFonts w:cs="Arial"/>
                <w:lang w:eastAsia="en-GB"/>
              </w:rPr>
              <w:t>Increased Revenue value £258</w:t>
            </w:r>
            <w:r w:rsidR="00D567E2">
              <w:rPr>
                <w:rFonts w:cs="Arial"/>
                <w:lang w:eastAsia="en-GB"/>
              </w:rPr>
              <w:t>,</w:t>
            </w:r>
            <w:r>
              <w:rPr>
                <w:rFonts w:cs="Arial"/>
                <w:lang w:eastAsia="en-GB"/>
              </w:rPr>
              <w:t>777</w:t>
            </w:r>
          </w:p>
          <w:p w:rsidR="00BF6592" w:rsidRPr="002A332E" w:rsidRDefault="00BF6592" w:rsidP="00BF6592">
            <w:pPr>
              <w:numPr>
                <w:ilvl w:val="0"/>
                <w:numId w:val="4"/>
              </w:numPr>
              <w:autoSpaceDE w:val="0"/>
              <w:autoSpaceDN w:val="0"/>
              <w:adjustRightInd w:val="0"/>
              <w:ind w:left="295" w:hanging="283"/>
              <w:rPr>
                <w:rFonts w:cs="Arial"/>
                <w:lang w:eastAsia="en-GB"/>
              </w:rPr>
            </w:pPr>
            <w:r>
              <w:rPr>
                <w:rFonts w:cs="Arial"/>
                <w:lang w:eastAsia="en-GB"/>
              </w:rPr>
              <w:t>£58,187 additional NNDR identified for 2015/16</w:t>
            </w:r>
          </w:p>
        </w:tc>
      </w:tr>
    </w:tbl>
    <w:p w:rsidR="00036F46" w:rsidRDefault="00036F46" w:rsidP="00036F46">
      <w:pPr>
        <w:rPr>
          <w:rFonts w:cs="Arial"/>
        </w:rPr>
      </w:pPr>
    </w:p>
    <w:p w:rsidR="002513A0" w:rsidRPr="002513A0" w:rsidRDefault="00B72E63" w:rsidP="002513A0">
      <w:pPr>
        <w:rPr>
          <w:rFonts w:cs="Arial"/>
        </w:rPr>
      </w:pPr>
      <w:r w:rsidRPr="0056670B">
        <w:rPr>
          <w:rFonts w:cs="Arial"/>
        </w:rPr>
        <w:t>T</w:t>
      </w:r>
      <w:r w:rsidR="00AA3834" w:rsidRPr="00140080">
        <w:rPr>
          <w:rFonts w:cs="Arial"/>
        </w:rPr>
        <w:t>he second target in the above table</w:t>
      </w:r>
      <w:r w:rsidR="00AA3834" w:rsidRPr="0056670B">
        <w:rPr>
          <w:rFonts w:cs="Arial"/>
        </w:rPr>
        <w:t xml:space="preserve"> was set based on data held from previous years</w:t>
      </w:r>
      <w:r w:rsidR="005C2014" w:rsidRPr="0056670B">
        <w:rPr>
          <w:rFonts w:cs="Arial"/>
        </w:rPr>
        <w:t>.</w:t>
      </w:r>
      <w:r w:rsidR="00AA3834" w:rsidRPr="0056670B">
        <w:rPr>
          <w:rFonts w:cs="Arial"/>
        </w:rPr>
        <w:t xml:space="preserve"> The value of increased </w:t>
      </w:r>
      <w:r w:rsidR="00C10750" w:rsidRPr="0056670B">
        <w:rPr>
          <w:rFonts w:cs="Arial"/>
        </w:rPr>
        <w:t xml:space="preserve">Council Tax and Business Rates </w:t>
      </w:r>
      <w:r w:rsidR="005C2014" w:rsidRPr="0056670B">
        <w:rPr>
          <w:rFonts w:cs="Arial"/>
        </w:rPr>
        <w:t xml:space="preserve">income arising from </w:t>
      </w:r>
      <w:r w:rsidR="00C10750" w:rsidRPr="0056670B">
        <w:rPr>
          <w:rFonts w:cs="Arial"/>
        </w:rPr>
        <w:t xml:space="preserve">investigation activity surpassed expectations and is a better measure of performance </w:t>
      </w:r>
      <w:r w:rsidR="0056670B" w:rsidRPr="0056670B">
        <w:rPr>
          <w:rFonts w:cs="Arial"/>
        </w:rPr>
        <w:t>and will be used going forward.</w:t>
      </w:r>
      <w:r w:rsidR="0056670B" w:rsidDel="0056670B">
        <w:rPr>
          <w:rFonts w:cs="Arial"/>
        </w:rPr>
        <w:t xml:space="preserve"> </w:t>
      </w:r>
    </w:p>
    <w:p w:rsidR="00AA3834" w:rsidRDefault="00AA3834" w:rsidP="00C10750">
      <w:pPr>
        <w:rPr>
          <w:rFonts w:cs="Arial"/>
        </w:rPr>
      </w:pPr>
    </w:p>
    <w:p w:rsidR="00C10750" w:rsidRPr="00C10750" w:rsidRDefault="00C10750" w:rsidP="00C10750">
      <w:pPr>
        <w:rPr>
          <w:rFonts w:cs="Arial"/>
        </w:rPr>
      </w:pPr>
    </w:p>
    <w:p w:rsidR="00C10750" w:rsidRDefault="00C10750" w:rsidP="00C10750">
      <w:pPr>
        <w:rPr>
          <w:rFonts w:cs="Arial"/>
        </w:rPr>
      </w:pPr>
    </w:p>
    <w:p w:rsidR="00C10750" w:rsidRDefault="00C10750"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647D15" w:rsidRDefault="00647D15" w:rsidP="00C10750">
      <w:pPr>
        <w:rPr>
          <w:rFonts w:cs="Arial"/>
        </w:rPr>
      </w:pPr>
    </w:p>
    <w:p w:rsidR="00C10750" w:rsidRDefault="00C10750" w:rsidP="00C10750">
      <w:pPr>
        <w:rPr>
          <w:rFonts w:cs="Arial"/>
        </w:rPr>
      </w:pPr>
    </w:p>
    <w:p w:rsidR="005F7ECB" w:rsidRDefault="005F7ECB" w:rsidP="005F7ECB">
      <w:pPr>
        <w:pStyle w:val="ListParagraph"/>
        <w:numPr>
          <w:ilvl w:val="0"/>
          <w:numId w:val="2"/>
        </w:numPr>
        <w:rPr>
          <w:rFonts w:cs="Arial"/>
        </w:rPr>
      </w:pPr>
      <w:r w:rsidRPr="00E87C12">
        <w:rPr>
          <w:rFonts w:cs="Arial"/>
        </w:rPr>
        <w:lastRenderedPageBreak/>
        <w:t xml:space="preserve">The total value of losses identified, income generated, and savings achieved by the Investigation Team over the year was </w:t>
      </w:r>
      <w:r w:rsidRPr="00C116C5">
        <w:rPr>
          <w:rFonts w:cs="Arial"/>
        </w:rPr>
        <w:t>£2,60</w:t>
      </w:r>
      <w:r w:rsidR="00C10750">
        <w:rPr>
          <w:rFonts w:cs="Arial"/>
        </w:rPr>
        <w:t>8</w:t>
      </w:r>
      <w:r w:rsidRPr="00C116C5">
        <w:rPr>
          <w:rFonts w:cs="Arial"/>
        </w:rPr>
        <w:t>,</w:t>
      </w:r>
      <w:r w:rsidR="00C10750">
        <w:rPr>
          <w:rFonts w:cs="Arial"/>
        </w:rPr>
        <w:t>700</w:t>
      </w:r>
      <w:r>
        <w:rPr>
          <w:rFonts w:cs="Arial"/>
        </w:rPr>
        <w:t xml:space="preserve"> shown in the </w:t>
      </w:r>
      <w:r w:rsidR="00AA3834">
        <w:rPr>
          <w:rFonts w:cs="Arial"/>
        </w:rPr>
        <w:t>table below</w:t>
      </w:r>
    </w:p>
    <w:p w:rsidR="005F7ECB" w:rsidRPr="008E422A" w:rsidRDefault="005F7ECB" w:rsidP="005F7ECB">
      <w:pPr>
        <w:rPr>
          <w:rFonts w:cs="Arial"/>
        </w:rPr>
      </w:pPr>
    </w:p>
    <w:p w:rsidR="005F7ECB" w:rsidRDefault="005F7ECB" w:rsidP="005F7ECB">
      <w:pPr>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559"/>
      </w:tblGrid>
      <w:tr w:rsidR="005F7ECB" w:rsidRPr="0015241D" w:rsidTr="00647D15">
        <w:tc>
          <w:tcPr>
            <w:tcW w:w="6804" w:type="dxa"/>
            <w:gridSpan w:val="2"/>
            <w:shd w:val="clear" w:color="auto" w:fill="8DB3E2"/>
          </w:tcPr>
          <w:p w:rsidR="005F7ECB" w:rsidRPr="0015241D" w:rsidRDefault="005F7ECB" w:rsidP="00150114">
            <w:pPr>
              <w:pStyle w:val="NormalWeb"/>
              <w:jc w:val="center"/>
              <w:rPr>
                <w:rFonts w:ascii="Arial" w:hAnsi="Arial" w:cs="Arial"/>
              </w:rPr>
            </w:pPr>
            <w:r>
              <w:rPr>
                <w:rFonts w:ascii="Arial" w:hAnsi="Arial" w:cs="Arial"/>
                <w:b/>
              </w:rPr>
              <w:t xml:space="preserve">Table 2: </w:t>
            </w:r>
            <w:r w:rsidRPr="0015241D">
              <w:rPr>
                <w:rFonts w:ascii="Arial" w:hAnsi="Arial" w:cs="Arial"/>
                <w:b/>
              </w:rPr>
              <w:t>201</w:t>
            </w:r>
            <w:r>
              <w:rPr>
                <w:rFonts w:ascii="Arial" w:hAnsi="Arial" w:cs="Arial"/>
                <w:b/>
              </w:rPr>
              <w:t>4</w:t>
            </w:r>
            <w:r w:rsidRPr="0015241D">
              <w:rPr>
                <w:rFonts w:ascii="Arial" w:hAnsi="Arial" w:cs="Arial"/>
                <w:b/>
              </w:rPr>
              <w:t>/201</w:t>
            </w:r>
            <w:r>
              <w:rPr>
                <w:rFonts w:ascii="Arial" w:hAnsi="Arial" w:cs="Arial"/>
                <w:b/>
              </w:rPr>
              <w:t>5</w:t>
            </w:r>
            <w:r w:rsidRPr="0015241D">
              <w:rPr>
                <w:rFonts w:ascii="Arial" w:hAnsi="Arial" w:cs="Arial"/>
                <w:b/>
              </w:rPr>
              <w:t xml:space="preserve"> </w:t>
            </w:r>
            <w:r>
              <w:rPr>
                <w:rFonts w:ascii="Arial" w:hAnsi="Arial" w:cs="Arial"/>
                <w:b/>
              </w:rPr>
              <w:t>L</w:t>
            </w:r>
            <w:r w:rsidRPr="0015241D">
              <w:rPr>
                <w:rFonts w:ascii="Arial" w:hAnsi="Arial" w:cs="Arial"/>
                <w:b/>
              </w:rPr>
              <w:t>osses</w:t>
            </w:r>
            <w:r>
              <w:rPr>
                <w:rFonts w:ascii="Arial" w:hAnsi="Arial" w:cs="Arial"/>
                <w:b/>
              </w:rPr>
              <w:t xml:space="preserve"> identified, income generated, savings made</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p>
        </w:tc>
        <w:tc>
          <w:tcPr>
            <w:tcW w:w="1559" w:type="dxa"/>
            <w:shd w:val="clear" w:color="auto" w:fill="auto"/>
          </w:tcPr>
          <w:p w:rsidR="005F7ECB" w:rsidRPr="0015241D" w:rsidRDefault="005F7ECB" w:rsidP="00150114">
            <w:pPr>
              <w:pStyle w:val="NormalWeb"/>
              <w:jc w:val="center"/>
              <w:rPr>
                <w:rFonts w:ascii="Arial" w:hAnsi="Arial" w:cs="Arial"/>
              </w:rPr>
            </w:pPr>
            <w:r w:rsidRPr="0015241D">
              <w:rPr>
                <w:rFonts w:ascii="Arial" w:hAnsi="Arial" w:cs="Arial"/>
              </w:rPr>
              <w:t>£’s</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sidRPr="0015241D">
              <w:rPr>
                <w:rFonts w:ascii="Arial" w:hAnsi="Arial" w:cs="Arial"/>
              </w:rPr>
              <w:t>Housing Benefit</w:t>
            </w:r>
            <w:r>
              <w:rPr>
                <w:rFonts w:ascii="Arial" w:hAnsi="Arial" w:cs="Arial"/>
              </w:rPr>
              <w:t xml:space="preserve"> Overpayments</w:t>
            </w:r>
            <w:r w:rsidR="006109E8">
              <w:rPr>
                <w:rFonts w:ascii="Arial" w:hAnsi="Arial" w:cs="Arial"/>
              </w:rPr>
              <w:t xml:space="preserve"> **</w:t>
            </w:r>
          </w:p>
        </w:tc>
        <w:tc>
          <w:tcPr>
            <w:tcW w:w="1559" w:type="dxa"/>
            <w:shd w:val="clear" w:color="auto" w:fill="auto"/>
          </w:tcPr>
          <w:p w:rsidR="005F7ECB" w:rsidRPr="0015241D" w:rsidRDefault="005F7ECB" w:rsidP="005F7ECB">
            <w:pPr>
              <w:pStyle w:val="NormalWeb"/>
              <w:jc w:val="right"/>
              <w:rPr>
                <w:rFonts w:ascii="Arial" w:hAnsi="Arial" w:cs="Arial"/>
              </w:rPr>
            </w:pPr>
            <w:r w:rsidRPr="00EE2E31">
              <w:rPr>
                <w:rFonts w:ascii="Arial" w:hAnsi="Arial" w:cs="Arial"/>
              </w:rPr>
              <w:t>6</w:t>
            </w:r>
            <w:r>
              <w:rPr>
                <w:rFonts w:ascii="Arial" w:hAnsi="Arial" w:cs="Arial"/>
              </w:rPr>
              <w:t>17,600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sidRPr="0015241D">
              <w:rPr>
                <w:rFonts w:ascii="Arial" w:hAnsi="Arial" w:cs="Arial"/>
              </w:rPr>
              <w:t>Council Tax Re</w:t>
            </w:r>
            <w:r>
              <w:rPr>
                <w:rFonts w:ascii="Arial" w:hAnsi="Arial" w:cs="Arial"/>
              </w:rPr>
              <w:t>duction</w:t>
            </w:r>
            <w:r w:rsidRPr="0015241D">
              <w:rPr>
                <w:rFonts w:ascii="Arial" w:hAnsi="Arial" w:cs="Arial"/>
              </w:rPr>
              <w:t xml:space="preserve"> Scheme</w:t>
            </w:r>
            <w:r>
              <w:rPr>
                <w:rFonts w:ascii="Arial" w:hAnsi="Arial" w:cs="Arial"/>
              </w:rPr>
              <w:t xml:space="preserve"> Overpayments</w:t>
            </w:r>
          </w:p>
        </w:tc>
        <w:tc>
          <w:tcPr>
            <w:tcW w:w="1559" w:type="dxa"/>
            <w:shd w:val="clear" w:color="auto" w:fill="auto"/>
          </w:tcPr>
          <w:p w:rsidR="005F7ECB" w:rsidRPr="0015241D" w:rsidRDefault="005F7ECB" w:rsidP="005F7ECB">
            <w:pPr>
              <w:pStyle w:val="NormalWeb"/>
              <w:jc w:val="right"/>
              <w:rPr>
                <w:rFonts w:ascii="Arial" w:hAnsi="Arial" w:cs="Arial"/>
              </w:rPr>
            </w:pPr>
            <w:r w:rsidRPr="00EE2E31">
              <w:rPr>
                <w:rFonts w:ascii="Arial" w:hAnsi="Arial" w:cs="Arial"/>
              </w:rPr>
              <w:t>108</w:t>
            </w:r>
            <w:r>
              <w:rPr>
                <w:rFonts w:ascii="Arial" w:hAnsi="Arial" w:cs="Arial"/>
              </w:rPr>
              <w:t>,100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Pr>
                <w:rFonts w:ascii="Arial" w:hAnsi="Arial" w:cs="Arial"/>
              </w:rPr>
              <w:t>Housing Benefit savings (using 32 week multiplier)</w:t>
            </w:r>
            <w:r w:rsidR="006109E8">
              <w:rPr>
                <w:rFonts w:ascii="Arial" w:hAnsi="Arial" w:cs="Arial"/>
              </w:rPr>
              <w:t xml:space="preserve"> **</w:t>
            </w:r>
          </w:p>
        </w:tc>
        <w:tc>
          <w:tcPr>
            <w:tcW w:w="1559" w:type="dxa"/>
            <w:shd w:val="clear" w:color="auto" w:fill="auto"/>
          </w:tcPr>
          <w:p w:rsidR="005F7ECB" w:rsidRDefault="005F7ECB" w:rsidP="005F7ECB">
            <w:pPr>
              <w:pStyle w:val="NormalWeb"/>
              <w:jc w:val="right"/>
              <w:rPr>
                <w:rFonts w:ascii="Arial" w:hAnsi="Arial" w:cs="Arial"/>
              </w:rPr>
            </w:pPr>
            <w:r>
              <w:rPr>
                <w:rFonts w:ascii="Arial" w:hAnsi="Arial" w:cs="Arial"/>
              </w:rPr>
              <w:t>773,500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Pr>
                <w:rFonts w:ascii="Arial" w:hAnsi="Arial" w:cs="Arial"/>
              </w:rPr>
              <w:t>Council Tax Reduction Scheme savings (using 32 week multiplier)</w:t>
            </w:r>
          </w:p>
        </w:tc>
        <w:tc>
          <w:tcPr>
            <w:tcW w:w="1559" w:type="dxa"/>
            <w:shd w:val="clear" w:color="auto" w:fill="auto"/>
          </w:tcPr>
          <w:p w:rsidR="005F7ECB" w:rsidRDefault="005F7ECB" w:rsidP="005F7ECB">
            <w:pPr>
              <w:pStyle w:val="NormalWeb"/>
              <w:jc w:val="right"/>
              <w:rPr>
                <w:rFonts w:ascii="Arial" w:hAnsi="Arial" w:cs="Arial"/>
              </w:rPr>
            </w:pPr>
            <w:r>
              <w:rPr>
                <w:rFonts w:ascii="Arial" w:hAnsi="Arial" w:cs="Arial"/>
              </w:rPr>
              <w:t>77,700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sidRPr="0015241D">
              <w:rPr>
                <w:rFonts w:ascii="Arial" w:hAnsi="Arial" w:cs="Arial"/>
              </w:rPr>
              <w:t>Other Welfare Benefits</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2,000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Pr>
                <w:rFonts w:ascii="Arial" w:hAnsi="Arial" w:cs="Arial"/>
              </w:rPr>
              <w:t>Council Tax Discount / Exemptions</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121,900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Pr>
                <w:rFonts w:ascii="Arial" w:hAnsi="Arial" w:cs="Arial"/>
              </w:rPr>
              <w:t>Non Domestic (Business) Rates Reliefs / Exemptions</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137,000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sidRPr="0015241D">
              <w:rPr>
                <w:rFonts w:ascii="Arial" w:hAnsi="Arial" w:cs="Arial"/>
              </w:rPr>
              <w:t>Recovered Properties (x Cost of Tem</w:t>
            </w:r>
            <w:r>
              <w:rPr>
                <w:rFonts w:ascii="Arial" w:hAnsi="Arial" w:cs="Arial"/>
              </w:rPr>
              <w:t>p</w:t>
            </w:r>
            <w:r w:rsidRPr="0015241D">
              <w:rPr>
                <w:rFonts w:ascii="Arial" w:hAnsi="Arial" w:cs="Arial"/>
              </w:rPr>
              <w:t xml:space="preserve"> Acc @ 18,000 pa)</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270,000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Pr>
                <w:rFonts w:ascii="Arial" w:hAnsi="Arial" w:cs="Arial"/>
              </w:rPr>
              <w:t>Stopped Right to Buy Applications</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385</w:t>
            </w:r>
            <w:r w:rsidRPr="0015241D">
              <w:rPr>
                <w:rFonts w:ascii="Arial" w:hAnsi="Arial" w:cs="Arial"/>
              </w:rPr>
              <w:t>,000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sidRPr="0015241D">
              <w:rPr>
                <w:rFonts w:ascii="Arial" w:hAnsi="Arial" w:cs="Arial"/>
              </w:rPr>
              <w:t>National Fraud Initiative</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3,400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rPr>
            </w:pPr>
            <w:r>
              <w:rPr>
                <w:rFonts w:ascii="Arial" w:hAnsi="Arial" w:cs="Arial"/>
              </w:rPr>
              <w:t>Financial Investigations</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112,500</w:t>
            </w:r>
          </w:p>
        </w:tc>
      </w:tr>
      <w:tr w:rsidR="005F7ECB" w:rsidRPr="0015241D" w:rsidTr="00647D15">
        <w:trPr>
          <w:trHeight w:val="567"/>
        </w:trPr>
        <w:tc>
          <w:tcPr>
            <w:tcW w:w="5245" w:type="dxa"/>
            <w:shd w:val="clear" w:color="auto" w:fill="auto"/>
          </w:tcPr>
          <w:p w:rsidR="005F7ECB" w:rsidRPr="0015241D" w:rsidRDefault="005F7ECB" w:rsidP="00150114">
            <w:pPr>
              <w:pStyle w:val="NormalWeb"/>
              <w:tabs>
                <w:tab w:val="left" w:pos="3031"/>
              </w:tabs>
              <w:jc w:val="both"/>
              <w:rPr>
                <w:rFonts w:ascii="Arial" w:hAnsi="Arial" w:cs="Arial"/>
              </w:rPr>
            </w:pPr>
            <w:r>
              <w:rPr>
                <w:rFonts w:ascii="Arial" w:hAnsi="Arial" w:cs="Arial"/>
              </w:rPr>
              <w:t>Administrative Penalties &amp; Profit Orders</w:t>
            </w:r>
            <w:r>
              <w:rPr>
                <w:rFonts w:ascii="Arial" w:hAnsi="Arial" w:cs="Arial"/>
              </w:rPr>
              <w:tab/>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9,100</w:t>
            </w:r>
          </w:p>
        </w:tc>
      </w:tr>
      <w:tr w:rsidR="005F7ECB" w:rsidRPr="0015241D" w:rsidTr="00647D15">
        <w:trPr>
          <w:trHeight w:val="567"/>
        </w:trPr>
        <w:tc>
          <w:tcPr>
            <w:tcW w:w="5245" w:type="dxa"/>
            <w:shd w:val="clear" w:color="auto" w:fill="auto"/>
          </w:tcPr>
          <w:p w:rsidR="005F7ECB" w:rsidRPr="0015241D" w:rsidRDefault="005F7ECB" w:rsidP="00150114">
            <w:pPr>
              <w:pStyle w:val="NormalWeb"/>
              <w:jc w:val="both"/>
              <w:rPr>
                <w:rFonts w:ascii="Arial" w:hAnsi="Arial" w:cs="Arial"/>
                <w:b/>
              </w:rPr>
            </w:pPr>
            <w:r w:rsidRPr="0015241D">
              <w:rPr>
                <w:rFonts w:ascii="Arial" w:hAnsi="Arial" w:cs="Arial"/>
                <w:b/>
              </w:rPr>
              <w:t>TOTAL</w:t>
            </w:r>
          </w:p>
        </w:tc>
        <w:tc>
          <w:tcPr>
            <w:tcW w:w="1559" w:type="dxa"/>
            <w:shd w:val="clear" w:color="auto" w:fill="auto"/>
          </w:tcPr>
          <w:p w:rsidR="005F7ECB" w:rsidRPr="0015241D" w:rsidRDefault="005F7ECB" w:rsidP="005F7ECB">
            <w:pPr>
              <w:pStyle w:val="NormalWeb"/>
              <w:jc w:val="right"/>
              <w:rPr>
                <w:rFonts w:ascii="Arial" w:hAnsi="Arial" w:cs="Arial"/>
              </w:rPr>
            </w:pPr>
            <w:r>
              <w:rPr>
                <w:rFonts w:ascii="Arial" w:hAnsi="Arial" w:cs="Arial"/>
              </w:rPr>
              <w:t>2,608,700</w:t>
            </w:r>
          </w:p>
        </w:tc>
      </w:tr>
    </w:tbl>
    <w:p w:rsidR="00054FBB" w:rsidRDefault="00054FBB" w:rsidP="00036F46">
      <w:pPr>
        <w:rPr>
          <w:rFonts w:cs="Arial"/>
        </w:rPr>
      </w:pPr>
    </w:p>
    <w:p w:rsidR="006109E8" w:rsidRDefault="006109E8" w:rsidP="00036F46">
      <w:pPr>
        <w:rPr>
          <w:rFonts w:cs="Arial"/>
        </w:rPr>
      </w:pPr>
      <w:r>
        <w:rPr>
          <w:rFonts w:cs="Arial"/>
        </w:rPr>
        <w:t xml:space="preserve">** With effect from </w:t>
      </w:r>
      <w:r w:rsidR="00A53031">
        <w:rPr>
          <w:rFonts w:cs="Arial"/>
        </w:rPr>
        <w:t>February</w:t>
      </w:r>
      <w:r>
        <w:rPr>
          <w:rFonts w:cs="Arial"/>
        </w:rPr>
        <w:t xml:space="preserve"> 2015 welfare benefit investigations will no longer be undertaken by the Council</w:t>
      </w:r>
    </w:p>
    <w:p w:rsidR="006109E8" w:rsidRDefault="006109E8" w:rsidP="00036F46">
      <w:pPr>
        <w:rPr>
          <w:rFonts w:cs="Arial"/>
        </w:rPr>
      </w:pPr>
    </w:p>
    <w:p w:rsidR="00054FBB" w:rsidRDefault="00225E90" w:rsidP="005B678B">
      <w:pPr>
        <w:pStyle w:val="ListParagraph"/>
        <w:numPr>
          <w:ilvl w:val="0"/>
          <w:numId w:val="2"/>
        </w:numPr>
        <w:rPr>
          <w:rFonts w:cs="Arial"/>
        </w:rPr>
      </w:pPr>
      <w:r>
        <w:rPr>
          <w:rFonts w:cs="Arial"/>
        </w:rPr>
        <w:t>Despite issues including new staff undergoing training, protracted staff absence, and the resource intensive transfer of Housing Benefit cases to the Department for Work and Pensions, it is felt that performance against the service plan targets was good.</w:t>
      </w:r>
    </w:p>
    <w:p w:rsidR="006109E8" w:rsidRPr="006109E8" w:rsidRDefault="006109E8" w:rsidP="00274BC1">
      <w:pPr>
        <w:rPr>
          <w:rFonts w:cs="Arial"/>
        </w:rPr>
      </w:pPr>
    </w:p>
    <w:p w:rsidR="004C71E8" w:rsidRDefault="004C71E8" w:rsidP="004C71E8">
      <w:pPr>
        <w:rPr>
          <w:rFonts w:cs="Arial"/>
        </w:rPr>
      </w:pPr>
    </w:p>
    <w:p w:rsidR="00C10750" w:rsidRDefault="00C10750" w:rsidP="004C71E8">
      <w:pPr>
        <w:rPr>
          <w:rFonts w:cs="Arial"/>
        </w:rPr>
      </w:pPr>
    </w:p>
    <w:p w:rsidR="00C10750" w:rsidRDefault="00C10750" w:rsidP="004C71E8">
      <w:pPr>
        <w:rPr>
          <w:rFonts w:cs="Arial"/>
        </w:rPr>
      </w:pPr>
    </w:p>
    <w:p w:rsidR="00C10750" w:rsidRDefault="00C10750" w:rsidP="004C71E8">
      <w:pPr>
        <w:rPr>
          <w:rFonts w:cs="Arial"/>
        </w:rPr>
      </w:pPr>
    </w:p>
    <w:p w:rsidR="00B65FC8" w:rsidRDefault="00B65FC8" w:rsidP="004C71E8">
      <w:pPr>
        <w:rPr>
          <w:rFonts w:cs="Arial"/>
        </w:rPr>
      </w:pPr>
    </w:p>
    <w:p w:rsidR="00C10750" w:rsidRDefault="00C10750" w:rsidP="004C71E8">
      <w:pPr>
        <w:rPr>
          <w:rFonts w:cs="Arial"/>
        </w:rPr>
      </w:pPr>
    </w:p>
    <w:p w:rsidR="001E6847" w:rsidRDefault="00225E90" w:rsidP="00225E90">
      <w:pPr>
        <w:pStyle w:val="ListParagraph"/>
        <w:numPr>
          <w:ilvl w:val="0"/>
          <w:numId w:val="2"/>
        </w:numPr>
        <w:rPr>
          <w:rFonts w:cs="Arial"/>
        </w:rPr>
      </w:pPr>
      <w:r>
        <w:rPr>
          <w:rFonts w:cs="Arial"/>
        </w:rPr>
        <w:t xml:space="preserve">Other areas of </w:t>
      </w:r>
      <w:r w:rsidR="001E6847">
        <w:rPr>
          <w:rFonts w:cs="Arial"/>
        </w:rPr>
        <w:t>activity</w:t>
      </w:r>
      <w:r>
        <w:rPr>
          <w:rFonts w:cs="Arial"/>
        </w:rPr>
        <w:t xml:space="preserve"> </w:t>
      </w:r>
      <w:r w:rsidR="00C129E2">
        <w:rPr>
          <w:rFonts w:cs="Arial"/>
        </w:rPr>
        <w:t>undertaken during the year</w:t>
      </w:r>
      <w:r>
        <w:rPr>
          <w:rFonts w:cs="Arial"/>
        </w:rPr>
        <w:t xml:space="preserve"> include</w:t>
      </w:r>
      <w:r w:rsidR="00C129E2">
        <w:rPr>
          <w:rFonts w:cs="Arial"/>
        </w:rPr>
        <w:t>d:</w:t>
      </w:r>
    </w:p>
    <w:p w:rsidR="001E6847" w:rsidRPr="001E6847" w:rsidRDefault="001E6847" w:rsidP="001E6847">
      <w:pPr>
        <w:pStyle w:val="ListParagraph"/>
        <w:rPr>
          <w:rFonts w:cs="Arial"/>
        </w:rPr>
      </w:pPr>
    </w:p>
    <w:p w:rsidR="001E6847" w:rsidRDefault="00225E90" w:rsidP="00647D15">
      <w:pPr>
        <w:pStyle w:val="ListParagraph"/>
        <w:numPr>
          <w:ilvl w:val="1"/>
          <w:numId w:val="2"/>
        </w:numPr>
        <w:spacing w:before="120"/>
        <w:rPr>
          <w:rFonts w:cs="Arial"/>
        </w:rPr>
      </w:pPr>
      <w:r>
        <w:rPr>
          <w:rFonts w:cs="Arial"/>
        </w:rPr>
        <w:t xml:space="preserve"> 28 cautions and </w:t>
      </w:r>
      <w:r w:rsidR="00FE3DC7">
        <w:rPr>
          <w:rFonts w:cs="Arial"/>
        </w:rPr>
        <w:t>5</w:t>
      </w:r>
      <w:r>
        <w:rPr>
          <w:rFonts w:cs="Arial"/>
        </w:rPr>
        <w:t xml:space="preserve"> Administrative Penalties administered in respect of Housing Benefit and / or Council Tax Reduction Scheme offences,</w:t>
      </w:r>
      <w:r w:rsidR="004C71E8">
        <w:rPr>
          <w:rFonts w:cs="Arial"/>
        </w:rPr>
        <w:t xml:space="preserve"> </w:t>
      </w:r>
    </w:p>
    <w:p w:rsidR="00054FBB" w:rsidRDefault="00225E90" w:rsidP="00647D15">
      <w:pPr>
        <w:pStyle w:val="ListParagraph"/>
        <w:numPr>
          <w:ilvl w:val="1"/>
          <w:numId w:val="2"/>
        </w:numPr>
        <w:spacing w:before="120"/>
        <w:rPr>
          <w:rFonts w:cs="Arial"/>
        </w:rPr>
      </w:pPr>
      <w:r>
        <w:rPr>
          <w:rFonts w:cs="Arial"/>
        </w:rPr>
        <w:t xml:space="preserve">1 Profit Order from a social housing </w:t>
      </w:r>
      <w:r w:rsidR="00955477">
        <w:rPr>
          <w:rFonts w:cs="Arial"/>
        </w:rPr>
        <w:t>sublet</w:t>
      </w:r>
      <w:r>
        <w:rPr>
          <w:rFonts w:cs="Arial"/>
        </w:rPr>
        <w:t xml:space="preserve"> fraud</w:t>
      </w:r>
      <w:r w:rsidR="00FE5E85">
        <w:rPr>
          <w:rFonts w:cs="Arial"/>
        </w:rPr>
        <w:t>.</w:t>
      </w:r>
    </w:p>
    <w:p w:rsidR="002A48DC" w:rsidRPr="002A48DC" w:rsidRDefault="002A48DC" w:rsidP="00647D15">
      <w:pPr>
        <w:pStyle w:val="ListParagraph"/>
        <w:numPr>
          <w:ilvl w:val="1"/>
          <w:numId w:val="2"/>
        </w:numPr>
        <w:spacing w:before="120"/>
        <w:rPr>
          <w:rFonts w:cs="Arial"/>
        </w:rPr>
      </w:pPr>
      <w:r w:rsidRPr="002A48DC">
        <w:rPr>
          <w:rFonts w:cs="Arial"/>
        </w:rPr>
        <w:t xml:space="preserve">18 successful prosecutions within the year, all of which had press releases issued and associated publicity. The </w:t>
      </w:r>
      <w:r w:rsidR="009A109A">
        <w:rPr>
          <w:rFonts w:cs="Arial"/>
        </w:rPr>
        <w:t>T</w:t>
      </w:r>
      <w:r w:rsidRPr="002A48DC">
        <w:rPr>
          <w:rFonts w:cs="Arial"/>
        </w:rPr>
        <w:t xml:space="preserve">eam will continue to publicise every conviction in order to raise awareness and </w:t>
      </w:r>
      <w:r>
        <w:rPr>
          <w:rFonts w:cs="Arial"/>
        </w:rPr>
        <w:t xml:space="preserve">to </w:t>
      </w:r>
      <w:r w:rsidRPr="002A48DC">
        <w:rPr>
          <w:rFonts w:cs="Arial"/>
        </w:rPr>
        <w:t>act as a deterrent.</w:t>
      </w:r>
    </w:p>
    <w:p w:rsidR="002A48DC" w:rsidRDefault="002A48DC" w:rsidP="00647D15">
      <w:pPr>
        <w:pStyle w:val="ListParagraph"/>
        <w:numPr>
          <w:ilvl w:val="1"/>
          <w:numId w:val="2"/>
        </w:numPr>
        <w:spacing w:before="120"/>
        <w:rPr>
          <w:rFonts w:cs="Arial"/>
        </w:rPr>
      </w:pPr>
      <w:r w:rsidRPr="00E87C12">
        <w:rPr>
          <w:rFonts w:cs="Arial"/>
        </w:rPr>
        <w:t xml:space="preserve"> 5 </w:t>
      </w:r>
      <w:r w:rsidR="009A109A">
        <w:rPr>
          <w:rFonts w:cs="Arial"/>
        </w:rPr>
        <w:t xml:space="preserve">Right to </w:t>
      </w:r>
      <w:proofErr w:type="gramStart"/>
      <w:r w:rsidR="009A109A">
        <w:rPr>
          <w:rFonts w:cs="Arial"/>
        </w:rPr>
        <w:t>Buy</w:t>
      </w:r>
      <w:proofErr w:type="gramEnd"/>
      <w:r w:rsidR="009A109A">
        <w:rPr>
          <w:rFonts w:cs="Arial"/>
        </w:rPr>
        <w:t xml:space="preserve"> applications</w:t>
      </w:r>
      <w:r w:rsidRPr="00E87C12">
        <w:rPr>
          <w:rFonts w:cs="Arial"/>
        </w:rPr>
        <w:t xml:space="preserve"> stopped by the Investigation Team</w:t>
      </w:r>
      <w:r w:rsidR="00573FF8" w:rsidRPr="00E87C12">
        <w:rPr>
          <w:rFonts w:cs="Arial"/>
        </w:rPr>
        <w:t>.</w:t>
      </w:r>
    </w:p>
    <w:p w:rsidR="00274BC1" w:rsidRDefault="00274BC1" w:rsidP="002A48DC">
      <w:pPr>
        <w:rPr>
          <w:rFonts w:cs="Arial"/>
          <w:b/>
        </w:rPr>
      </w:pPr>
    </w:p>
    <w:p w:rsidR="00274BC1" w:rsidRDefault="00274BC1" w:rsidP="002A48DC">
      <w:pPr>
        <w:rPr>
          <w:rFonts w:cs="Arial"/>
          <w:b/>
        </w:rPr>
      </w:pPr>
    </w:p>
    <w:p w:rsidR="002A48DC" w:rsidRDefault="00302A89" w:rsidP="002A48DC">
      <w:pPr>
        <w:rPr>
          <w:rFonts w:cs="Arial"/>
          <w:b/>
        </w:rPr>
      </w:pPr>
      <w:r>
        <w:rPr>
          <w:rFonts w:cs="Arial"/>
          <w:b/>
        </w:rPr>
        <w:t xml:space="preserve">      </w:t>
      </w:r>
      <w:r w:rsidR="007D5FAC">
        <w:rPr>
          <w:rFonts w:cs="Arial"/>
          <w:b/>
        </w:rPr>
        <w:t>Staffing</w:t>
      </w:r>
    </w:p>
    <w:p w:rsidR="007D5FAC" w:rsidRPr="007D5FAC" w:rsidRDefault="007D5FAC" w:rsidP="002A48DC">
      <w:pPr>
        <w:rPr>
          <w:rFonts w:cs="Arial"/>
          <w:b/>
        </w:rPr>
      </w:pPr>
    </w:p>
    <w:p w:rsidR="007D5FAC" w:rsidRDefault="007D5FAC" w:rsidP="00B65FC8">
      <w:pPr>
        <w:pStyle w:val="ListParagraph"/>
        <w:numPr>
          <w:ilvl w:val="0"/>
          <w:numId w:val="2"/>
        </w:numPr>
        <w:rPr>
          <w:rFonts w:cs="Arial"/>
        </w:rPr>
      </w:pPr>
      <w:r>
        <w:rPr>
          <w:rFonts w:cs="Arial"/>
        </w:rPr>
        <w:t xml:space="preserve">The </w:t>
      </w:r>
      <w:r w:rsidR="001E6847">
        <w:rPr>
          <w:rFonts w:cs="Arial"/>
        </w:rPr>
        <w:t>Investigation T</w:t>
      </w:r>
      <w:r>
        <w:rPr>
          <w:rFonts w:cs="Arial"/>
        </w:rPr>
        <w:t xml:space="preserve">eam </w:t>
      </w:r>
      <w:r w:rsidR="00B47F0E">
        <w:rPr>
          <w:rFonts w:cs="Arial"/>
        </w:rPr>
        <w:t xml:space="preserve">has been </w:t>
      </w:r>
      <w:r>
        <w:rPr>
          <w:rFonts w:cs="Arial"/>
        </w:rPr>
        <w:t>restructure</w:t>
      </w:r>
      <w:r w:rsidR="00647D15">
        <w:rPr>
          <w:rFonts w:cs="Arial"/>
        </w:rPr>
        <w:t>d</w:t>
      </w:r>
      <w:r>
        <w:rPr>
          <w:rFonts w:cs="Arial"/>
        </w:rPr>
        <w:t xml:space="preserve"> </w:t>
      </w:r>
      <w:r w:rsidR="001E6847">
        <w:rPr>
          <w:rFonts w:cs="Arial"/>
        </w:rPr>
        <w:t>following the introduction of the Single Fraud Investigation Service (SFIS)</w:t>
      </w:r>
      <w:r w:rsidR="00B47F0E">
        <w:rPr>
          <w:rFonts w:cs="Arial"/>
        </w:rPr>
        <w:t xml:space="preserve"> early in 2014.</w:t>
      </w:r>
      <w:r w:rsidR="00AC5264">
        <w:rPr>
          <w:rFonts w:cs="Arial"/>
        </w:rPr>
        <w:t xml:space="preserve"> </w:t>
      </w:r>
      <w:r w:rsidR="00B47F0E">
        <w:rPr>
          <w:rFonts w:cs="Arial"/>
        </w:rPr>
        <w:t xml:space="preserve"> T</w:t>
      </w:r>
      <w:r w:rsidR="00AC5264">
        <w:rPr>
          <w:rFonts w:cs="Arial"/>
        </w:rPr>
        <w:t xml:space="preserve">he permanent establishment </w:t>
      </w:r>
      <w:r w:rsidR="00B47F0E">
        <w:rPr>
          <w:rFonts w:cs="Arial"/>
        </w:rPr>
        <w:t xml:space="preserve">is </w:t>
      </w:r>
      <w:r>
        <w:rPr>
          <w:rFonts w:cs="Arial"/>
        </w:rPr>
        <w:t xml:space="preserve">5.6 FTE </w:t>
      </w:r>
    </w:p>
    <w:p w:rsidR="00B65FC8" w:rsidRPr="007D5FAC" w:rsidRDefault="00B65FC8" w:rsidP="007D5FAC">
      <w:pPr>
        <w:pStyle w:val="ListParagraph"/>
        <w:rPr>
          <w:rFonts w:cs="Arial"/>
        </w:rPr>
      </w:pPr>
    </w:p>
    <w:p w:rsidR="007D5FAC" w:rsidRDefault="00447892" w:rsidP="007D5FAC">
      <w:pPr>
        <w:pStyle w:val="ListParagraph"/>
        <w:numPr>
          <w:ilvl w:val="0"/>
          <w:numId w:val="2"/>
        </w:numPr>
        <w:rPr>
          <w:rFonts w:cs="Arial"/>
        </w:rPr>
      </w:pPr>
      <w:r>
        <w:rPr>
          <w:rFonts w:cs="Arial"/>
        </w:rPr>
        <w:t>Following the successful</w:t>
      </w:r>
      <w:r w:rsidR="001974C0">
        <w:rPr>
          <w:rFonts w:cs="Arial"/>
        </w:rPr>
        <w:t xml:space="preserve"> </w:t>
      </w:r>
      <w:proofErr w:type="gramStart"/>
      <w:r w:rsidR="001974C0">
        <w:rPr>
          <w:rFonts w:cs="Arial"/>
        </w:rPr>
        <w:t>bid  submitted</w:t>
      </w:r>
      <w:proofErr w:type="gramEnd"/>
      <w:r w:rsidR="001974C0">
        <w:rPr>
          <w:rFonts w:cs="Arial"/>
        </w:rPr>
        <w:t xml:space="preserve"> in respect of </w:t>
      </w:r>
      <w:r w:rsidR="00274BC1">
        <w:rPr>
          <w:rFonts w:cs="Arial"/>
        </w:rPr>
        <w:t xml:space="preserve">the </w:t>
      </w:r>
      <w:r w:rsidR="007D5FAC">
        <w:rPr>
          <w:rFonts w:cs="Arial"/>
        </w:rPr>
        <w:t>Fraud and Error Reduction Incentive Scheme (FERIS)</w:t>
      </w:r>
      <w:r w:rsidR="00274BC1">
        <w:rPr>
          <w:rFonts w:cs="Arial"/>
        </w:rPr>
        <w:t xml:space="preserve"> </w:t>
      </w:r>
      <w:r w:rsidR="00C3490B">
        <w:rPr>
          <w:rFonts w:cs="Arial"/>
        </w:rPr>
        <w:t xml:space="preserve">additional fixed term staff are being recruited to deliver the project </w:t>
      </w:r>
      <w:r w:rsidR="001974C0">
        <w:rPr>
          <w:rFonts w:cs="Arial"/>
        </w:rPr>
        <w:t xml:space="preserve"> </w:t>
      </w:r>
      <w:r w:rsidR="00C3490B">
        <w:rPr>
          <w:rFonts w:cs="Arial"/>
        </w:rPr>
        <w:t xml:space="preserve">which is </w:t>
      </w:r>
      <w:r w:rsidR="001974C0">
        <w:rPr>
          <w:rFonts w:cs="Arial"/>
        </w:rPr>
        <w:t>explained in more detail below.</w:t>
      </w:r>
    </w:p>
    <w:p w:rsidR="007665E5" w:rsidRPr="007665E5" w:rsidRDefault="007665E5" w:rsidP="007665E5">
      <w:pPr>
        <w:pStyle w:val="ListParagraph"/>
        <w:rPr>
          <w:rFonts w:cs="Arial"/>
        </w:rPr>
      </w:pPr>
    </w:p>
    <w:p w:rsidR="007665E5" w:rsidRPr="007665E5" w:rsidRDefault="00302A89" w:rsidP="007665E5">
      <w:pPr>
        <w:rPr>
          <w:rFonts w:cs="Arial"/>
          <w:b/>
        </w:rPr>
      </w:pPr>
      <w:r>
        <w:rPr>
          <w:rFonts w:cs="Arial"/>
          <w:b/>
        </w:rPr>
        <w:t xml:space="preserve">     </w:t>
      </w:r>
      <w:r w:rsidR="007665E5" w:rsidRPr="007665E5">
        <w:rPr>
          <w:rFonts w:cs="Arial"/>
          <w:b/>
        </w:rPr>
        <w:t>S</w:t>
      </w:r>
      <w:r w:rsidR="007665E5">
        <w:rPr>
          <w:rFonts w:cs="Arial"/>
          <w:b/>
        </w:rPr>
        <w:t xml:space="preserve">ingle </w:t>
      </w:r>
      <w:r w:rsidR="007665E5" w:rsidRPr="007665E5">
        <w:rPr>
          <w:rFonts w:cs="Arial"/>
          <w:b/>
        </w:rPr>
        <w:t>F</w:t>
      </w:r>
      <w:r w:rsidR="007665E5">
        <w:rPr>
          <w:rFonts w:cs="Arial"/>
          <w:b/>
        </w:rPr>
        <w:t xml:space="preserve">raud </w:t>
      </w:r>
      <w:r w:rsidR="007665E5" w:rsidRPr="007665E5">
        <w:rPr>
          <w:rFonts w:cs="Arial"/>
          <w:b/>
        </w:rPr>
        <w:t>I</w:t>
      </w:r>
      <w:r w:rsidR="007665E5">
        <w:rPr>
          <w:rFonts w:cs="Arial"/>
          <w:b/>
        </w:rPr>
        <w:t xml:space="preserve">nvestigation </w:t>
      </w:r>
      <w:r w:rsidR="007665E5" w:rsidRPr="007665E5">
        <w:rPr>
          <w:rFonts w:cs="Arial"/>
          <w:b/>
        </w:rPr>
        <w:t>S</w:t>
      </w:r>
      <w:r w:rsidR="007665E5">
        <w:rPr>
          <w:rFonts w:cs="Arial"/>
          <w:b/>
        </w:rPr>
        <w:t>ervice</w:t>
      </w:r>
      <w:r w:rsidR="007665E5" w:rsidRPr="007665E5">
        <w:rPr>
          <w:rFonts w:cs="Arial"/>
          <w:b/>
        </w:rPr>
        <w:t xml:space="preserve"> Update</w:t>
      </w:r>
    </w:p>
    <w:p w:rsidR="00225E90" w:rsidRDefault="00225E90" w:rsidP="00036F46">
      <w:pPr>
        <w:rPr>
          <w:rFonts w:cs="Arial"/>
        </w:rPr>
      </w:pPr>
    </w:p>
    <w:p w:rsidR="007665E5" w:rsidRDefault="007665E5" w:rsidP="007665E5">
      <w:pPr>
        <w:pStyle w:val="ListParagraph"/>
        <w:numPr>
          <w:ilvl w:val="0"/>
          <w:numId w:val="2"/>
        </w:numPr>
        <w:rPr>
          <w:rFonts w:cs="Arial"/>
        </w:rPr>
      </w:pPr>
      <w:r>
        <w:rPr>
          <w:rFonts w:cs="Arial"/>
        </w:rPr>
        <w:t>From 1</w:t>
      </w:r>
      <w:r w:rsidRPr="007665E5">
        <w:rPr>
          <w:rFonts w:cs="Arial"/>
          <w:vertAlign w:val="superscript"/>
        </w:rPr>
        <w:t>st</w:t>
      </w:r>
      <w:r>
        <w:rPr>
          <w:rFonts w:cs="Arial"/>
        </w:rPr>
        <w:t xml:space="preserve"> February 2015, the responsibility for investigation of Housing Benefit fraud in Oxford was transferred to the Department for Work and Pensions. One member of the team transferred to the DWP under TUPE like arrangements.</w:t>
      </w:r>
      <w:r w:rsidR="00A35036">
        <w:rPr>
          <w:rFonts w:cs="Arial"/>
        </w:rPr>
        <w:t xml:space="preserve"> The transfer involved secure electronic and clerical migration of cases after liaison with the DWP project team, and local DWP contacts. Service Level Agreements for the future exchange of information</w:t>
      </w:r>
      <w:r w:rsidR="005339D9">
        <w:rPr>
          <w:rFonts w:cs="Arial"/>
        </w:rPr>
        <w:t xml:space="preserve"> </w:t>
      </w:r>
      <w:r w:rsidR="00C3490B">
        <w:rPr>
          <w:rFonts w:cs="Arial"/>
        </w:rPr>
        <w:t>have been agreed</w:t>
      </w:r>
      <w:r w:rsidR="00A35036">
        <w:rPr>
          <w:rFonts w:cs="Arial"/>
        </w:rPr>
        <w:t>. The process was resource intensive but was managed successfully and the transfer took place as scheduled.</w:t>
      </w:r>
    </w:p>
    <w:p w:rsidR="007665E5" w:rsidRDefault="007665E5" w:rsidP="007665E5">
      <w:pPr>
        <w:rPr>
          <w:rFonts w:cs="Arial"/>
        </w:rPr>
      </w:pPr>
    </w:p>
    <w:p w:rsidR="007665E5" w:rsidRPr="007665E5" w:rsidRDefault="005339D9" w:rsidP="007665E5">
      <w:pPr>
        <w:pStyle w:val="ListParagraph"/>
        <w:numPr>
          <w:ilvl w:val="0"/>
          <w:numId w:val="2"/>
        </w:numPr>
        <w:rPr>
          <w:rFonts w:cs="Arial"/>
        </w:rPr>
      </w:pPr>
      <w:r>
        <w:rPr>
          <w:rFonts w:cs="Arial"/>
        </w:rPr>
        <w:t>The Team retained a</w:t>
      </w:r>
      <w:r w:rsidR="007665E5">
        <w:rPr>
          <w:rFonts w:cs="Arial"/>
        </w:rPr>
        <w:t xml:space="preserve"> number of </w:t>
      </w:r>
      <w:proofErr w:type="spellStart"/>
      <w:r>
        <w:rPr>
          <w:rFonts w:cs="Arial"/>
        </w:rPr>
        <w:t>ongoing</w:t>
      </w:r>
      <w:proofErr w:type="spellEnd"/>
      <w:r>
        <w:rPr>
          <w:rFonts w:cs="Arial"/>
        </w:rPr>
        <w:t xml:space="preserve"> </w:t>
      </w:r>
      <w:r w:rsidR="007665E5">
        <w:rPr>
          <w:rFonts w:cs="Arial"/>
        </w:rPr>
        <w:t xml:space="preserve">Housing Benefit </w:t>
      </w:r>
      <w:r w:rsidR="00D7284F">
        <w:rPr>
          <w:rFonts w:cs="Arial"/>
        </w:rPr>
        <w:t xml:space="preserve">investigations </w:t>
      </w:r>
      <w:r>
        <w:rPr>
          <w:rFonts w:cs="Arial"/>
        </w:rPr>
        <w:t xml:space="preserve">which they will see through to </w:t>
      </w:r>
      <w:r w:rsidR="00D7284F">
        <w:rPr>
          <w:rFonts w:cs="Arial"/>
        </w:rPr>
        <w:t xml:space="preserve">conclusion. Legal powers to investigate Housing Benefit fraud </w:t>
      </w:r>
      <w:r w:rsidR="0040038D">
        <w:rPr>
          <w:rFonts w:cs="Arial"/>
        </w:rPr>
        <w:t>will</w:t>
      </w:r>
      <w:r w:rsidR="00D7284F">
        <w:rPr>
          <w:rFonts w:cs="Arial"/>
        </w:rPr>
        <w:t xml:space="preserve"> not be removed from local authorities until March 2016.</w:t>
      </w:r>
    </w:p>
    <w:p w:rsidR="007665E5" w:rsidRDefault="007665E5" w:rsidP="00036F46">
      <w:pPr>
        <w:rPr>
          <w:rFonts w:cs="Arial"/>
        </w:rPr>
      </w:pPr>
    </w:p>
    <w:p w:rsidR="00173F5F" w:rsidRDefault="00173F5F" w:rsidP="00036F46">
      <w:pPr>
        <w:rPr>
          <w:rFonts w:cs="Arial"/>
        </w:rPr>
      </w:pPr>
    </w:p>
    <w:p w:rsidR="00173F5F" w:rsidRDefault="00173F5F" w:rsidP="00036F46">
      <w:pPr>
        <w:rPr>
          <w:rFonts w:cs="Arial"/>
        </w:rPr>
      </w:pPr>
    </w:p>
    <w:p w:rsidR="00173F5F" w:rsidRDefault="00173F5F" w:rsidP="00036F46">
      <w:pPr>
        <w:rPr>
          <w:rFonts w:cs="Arial"/>
        </w:rPr>
      </w:pPr>
    </w:p>
    <w:p w:rsidR="00173F5F" w:rsidRDefault="00173F5F" w:rsidP="00036F46">
      <w:pPr>
        <w:rPr>
          <w:rFonts w:cs="Arial"/>
        </w:rPr>
      </w:pPr>
    </w:p>
    <w:p w:rsidR="00647D15" w:rsidRDefault="00647D15" w:rsidP="00036F46">
      <w:pPr>
        <w:rPr>
          <w:rFonts w:cs="Arial"/>
        </w:rPr>
      </w:pPr>
    </w:p>
    <w:p w:rsidR="00647D15" w:rsidRDefault="00647D15" w:rsidP="00036F46">
      <w:pPr>
        <w:rPr>
          <w:rFonts w:cs="Arial"/>
        </w:rPr>
      </w:pPr>
    </w:p>
    <w:p w:rsidR="00647D15" w:rsidRDefault="00647D15" w:rsidP="00036F46">
      <w:pPr>
        <w:rPr>
          <w:rFonts w:cs="Arial"/>
        </w:rPr>
      </w:pPr>
    </w:p>
    <w:p w:rsidR="00647D15" w:rsidRDefault="00647D15" w:rsidP="00036F46">
      <w:pPr>
        <w:rPr>
          <w:rFonts w:cs="Arial"/>
        </w:rPr>
      </w:pPr>
    </w:p>
    <w:p w:rsidR="00302A89" w:rsidRDefault="00302A89" w:rsidP="00036F46">
      <w:pPr>
        <w:rPr>
          <w:rFonts w:cs="Arial"/>
        </w:rPr>
      </w:pPr>
    </w:p>
    <w:p w:rsidR="00173F5F" w:rsidRDefault="00173F5F" w:rsidP="00036F46">
      <w:pPr>
        <w:rPr>
          <w:rFonts w:cs="Arial"/>
        </w:rPr>
      </w:pPr>
    </w:p>
    <w:p w:rsidR="00302A89" w:rsidRDefault="00302A89" w:rsidP="00036F46">
      <w:pPr>
        <w:rPr>
          <w:rFonts w:cs="Arial"/>
          <w:b/>
        </w:rPr>
      </w:pPr>
      <w:r>
        <w:rPr>
          <w:rFonts w:cs="Arial"/>
          <w:b/>
        </w:rPr>
        <w:lastRenderedPageBreak/>
        <w:t xml:space="preserve">     </w:t>
      </w:r>
      <w:r w:rsidR="00A35036" w:rsidRPr="00A35036">
        <w:rPr>
          <w:rFonts w:cs="Arial"/>
          <w:b/>
        </w:rPr>
        <w:t>D</w:t>
      </w:r>
      <w:r w:rsidR="0040038D">
        <w:rPr>
          <w:rFonts w:cs="Arial"/>
          <w:b/>
        </w:rPr>
        <w:t>epartment for Communities and Local Government</w:t>
      </w:r>
      <w:r w:rsidR="00A35036" w:rsidRPr="00A35036">
        <w:rPr>
          <w:rFonts w:cs="Arial"/>
          <w:b/>
        </w:rPr>
        <w:t xml:space="preserve"> </w:t>
      </w:r>
      <w:r w:rsidR="0040038D">
        <w:rPr>
          <w:rFonts w:cs="Arial"/>
          <w:b/>
        </w:rPr>
        <w:t>Grant</w:t>
      </w:r>
      <w:r w:rsidR="00140080">
        <w:rPr>
          <w:rFonts w:cs="Arial"/>
          <w:b/>
        </w:rPr>
        <w:t xml:space="preserve"> (DCLG)</w:t>
      </w:r>
      <w:r w:rsidR="0040038D">
        <w:rPr>
          <w:rFonts w:cs="Arial"/>
          <w:b/>
        </w:rPr>
        <w:t xml:space="preserve"> </w:t>
      </w:r>
      <w:r>
        <w:rPr>
          <w:rFonts w:cs="Arial"/>
          <w:b/>
        </w:rPr>
        <w:t xml:space="preserve">  </w:t>
      </w:r>
    </w:p>
    <w:p w:rsidR="00A35036" w:rsidRPr="00A35036" w:rsidRDefault="00A35036" w:rsidP="00302A89">
      <w:pPr>
        <w:ind w:firstLine="360"/>
        <w:rPr>
          <w:rFonts w:cs="Arial"/>
          <w:b/>
        </w:rPr>
      </w:pPr>
      <w:r w:rsidRPr="00A35036">
        <w:rPr>
          <w:rFonts w:cs="Arial"/>
          <w:b/>
        </w:rPr>
        <w:t>Funding / Fraud Hub</w:t>
      </w:r>
    </w:p>
    <w:p w:rsidR="00A35036" w:rsidRDefault="00A35036" w:rsidP="00036F46">
      <w:pPr>
        <w:rPr>
          <w:rFonts w:cs="Arial"/>
        </w:rPr>
      </w:pPr>
    </w:p>
    <w:p w:rsidR="00BC7BE2" w:rsidRDefault="00A35036" w:rsidP="00283DE0">
      <w:pPr>
        <w:pStyle w:val="ListParagraph"/>
        <w:numPr>
          <w:ilvl w:val="0"/>
          <w:numId w:val="2"/>
        </w:numPr>
        <w:rPr>
          <w:rFonts w:cs="Arial"/>
        </w:rPr>
      </w:pPr>
      <w:r w:rsidRPr="00140080">
        <w:rPr>
          <w:rFonts w:cs="Arial"/>
        </w:rPr>
        <w:t xml:space="preserve">The first tranche of </w:t>
      </w:r>
      <w:r w:rsidR="00AC5264" w:rsidRPr="00140080">
        <w:rPr>
          <w:rFonts w:cs="Arial"/>
        </w:rPr>
        <w:t xml:space="preserve">the £407,000 grant </w:t>
      </w:r>
      <w:r w:rsidRPr="00140080">
        <w:rPr>
          <w:rFonts w:cs="Arial"/>
        </w:rPr>
        <w:t>funding from DCLG was received in December 2014</w:t>
      </w:r>
      <w:r w:rsidR="00140080">
        <w:rPr>
          <w:rFonts w:cs="Arial"/>
        </w:rPr>
        <w:t>.</w:t>
      </w:r>
      <w:r w:rsidR="00302A89">
        <w:rPr>
          <w:rFonts w:cs="Arial"/>
        </w:rPr>
        <w:t xml:space="preserve"> </w:t>
      </w:r>
    </w:p>
    <w:p w:rsidR="00302A89" w:rsidRPr="00302A89" w:rsidRDefault="00302A89" w:rsidP="00302A89">
      <w:pPr>
        <w:rPr>
          <w:rFonts w:cs="Arial"/>
        </w:rPr>
      </w:pPr>
    </w:p>
    <w:p w:rsidR="007B7D9D" w:rsidRDefault="00140080" w:rsidP="00BC7BE2">
      <w:pPr>
        <w:pStyle w:val="ListParagraph"/>
        <w:numPr>
          <w:ilvl w:val="0"/>
          <w:numId w:val="2"/>
        </w:numPr>
        <w:rPr>
          <w:rFonts w:cs="Arial"/>
        </w:rPr>
      </w:pPr>
      <w:r>
        <w:rPr>
          <w:rFonts w:cs="Arial"/>
        </w:rPr>
        <w:t>I</w:t>
      </w:r>
      <w:r w:rsidR="00BC7BE2">
        <w:rPr>
          <w:rFonts w:cs="Arial"/>
        </w:rPr>
        <w:t xml:space="preserve">mplementation </w:t>
      </w:r>
      <w:r>
        <w:rPr>
          <w:rFonts w:cs="Arial"/>
        </w:rPr>
        <w:t xml:space="preserve">plans </w:t>
      </w:r>
      <w:r w:rsidR="00BC7BE2">
        <w:rPr>
          <w:rFonts w:cs="Arial"/>
        </w:rPr>
        <w:t xml:space="preserve">were devised in January and a number of actions have taken place to move the project forward. After a procurement exercise, </w:t>
      </w:r>
      <w:r w:rsidR="00A53031">
        <w:rPr>
          <w:rFonts w:cs="Arial"/>
        </w:rPr>
        <w:t>Intec</w:t>
      </w:r>
      <w:r w:rsidR="00947567">
        <w:rPr>
          <w:rFonts w:cs="Arial"/>
        </w:rPr>
        <w:t xml:space="preserve"> for Business</w:t>
      </w:r>
      <w:r w:rsidR="00A53031">
        <w:rPr>
          <w:rFonts w:cs="Arial"/>
        </w:rPr>
        <w:t xml:space="preserve"> was</w:t>
      </w:r>
      <w:r w:rsidR="00BC7BE2">
        <w:rPr>
          <w:rFonts w:cs="Arial"/>
        </w:rPr>
        <w:t xml:space="preserve"> </w:t>
      </w:r>
      <w:r w:rsidR="00654D52">
        <w:rPr>
          <w:rFonts w:cs="Arial"/>
        </w:rPr>
        <w:t>awarded the contract</w:t>
      </w:r>
      <w:r w:rsidR="00BC7BE2">
        <w:rPr>
          <w:rFonts w:cs="Arial"/>
        </w:rPr>
        <w:t xml:space="preserve"> to provide the data warehouse &amp; </w:t>
      </w:r>
      <w:r w:rsidR="00654D52">
        <w:rPr>
          <w:rFonts w:cs="Arial"/>
        </w:rPr>
        <w:t>c</w:t>
      </w:r>
      <w:r w:rsidR="00BC7BE2">
        <w:rPr>
          <w:rFonts w:cs="Arial"/>
        </w:rPr>
        <w:t xml:space="preserve">ase </w:t>
      </w:r>
      <w:r w:rsidR="00654D52">
        <w:rPr>
          <w:rFonts w:cs="Arial"/>
        </w:rPr>
        <w:t>m</w:t>
      </w:r>
      <w:r w:rsidR="00BC7BE2">
        <w:rPr>
          <w:rFonts w:cs="Arial"/>
        </w:rPr>
        <w:t>anagement system</w:t>
      </w:r>
      <w:r w:rsidR="00654D52">
        <w:rPr>
          <w:rFonts w:cs="Arial"/>
        </w:rPr>
        <w:t>s</w:t>
      </w:r>
      <w:r w:rsidR="00364C98">
        <w:rPr>
          <w:rFonts w:cs="Arial"/>
        </w:rPr>
        <w:t xml:space="preserve">. Implementation of the system is due </w:t>
      </w:r>
      <w:r w:rsidR="00947567">
        <w:rPr>
          <w:rFonts w:cs="Arial"/>
        </w:rPr>
        <w:t>in June 2015.</w:t>
      </w:r>
    </w:p>
    <w:p w:rsidR="007B7D9D" w:rsidRPr="007B7D9D" w:rsidRDefault="007B7D9D" w:rsidP="007B7D9D">
      <w:pPr>
        <w:pStyle w:val="ListParagraph"/>
        <w:rPr>
          <w:rFonts w:cs="Arial"/>
        </w:rPr>
      </w:pPr>
    </w:p>
    <w:p w:rsidR="00BC7BE2" w:rsidRDefault="00BC7BE2" w:rsidP="00BC7BE2">
      <w:pPr>
        <w:pStyle w:val="ListParagraph"/>
        <w:numPr>
          <w:ilvl w:val="0"/>
          <w:numId w:val="2"/>
        </w:numPr>
        <w:rPr>
          <w:rFonts w:cs="Arial"/>
        </w:rPr>
      </w:pPr>
      <w:r w:rsidRPr="007B7D9D">
        <w:rPr>
          <w:rFonts w:cs="Arial"/>
        </w:rPr>
        <w:t xml:space="preserve">The systems include “Single View of Debt” functionality which is planned for utilisation </w:t>
      </w:r>
      <w:r w:rsidR="00AC5264">
        <w:rPr>
          <w:rFonts w:cs="Arial"/>
        </w:rPr>
        <w:t>in debt recovery</w:t>
      </w:r>
      <w:r w:rsidRPr="007B7D9D">
        <w:rPr>
          <w:rFonts w:cs="Arial"/>
        </w:rPr>
        <w:t>.</w:t>
      </w:r>
      <w:r w:rsidR="007B7D9D">
        <w:rPr>
          <w:rFonts w:cs="Arial"/>
        </w:rPr>
        <w:t xml:space="preserve"> </w:t>
      </w:r>
      <w:r w:rsidRPr="007B7D9D">
        <w:rPr>
          <w:rFonts w:cs="Arial"/>
        </w:rPr>
        <w:t>The data warehouse system also includes integrated credit reference agency searching which will assist with investigating and risk profiling match results.</w:t>
      </w:r>
    </w:p>
    <w:p w:rsidR="001974C0" w:rsidRPr="001974C0" w:rsidRDefault="001974C0" w:rsidP="00947567">
      <w:pPr>
        <w:pStyle w:val="ListParagraph"/>
        <w:rPr>
          <w:rFonts w:cs="Arial"/>
        </w:rPr>
      </w:pPr>
    </w:p>
    <w:p w:rsidR="001974C0" w:rsidRDefault="00061BBD" w:rsidP="00BC7BE2">
      <w:pPr>
        <w:pStyle w:val="ListParagraph"/>
        <w:numPr>
          <w:ilvl w:val="0"/>
          <w:numId w:val="2"/>
        </w:numPr>
        <w:rPr>
          <w:rFonts w:cs="Arial"/>
        </w:rPr>
      </w:pPr>
      <w:r>
        <w:rPr>
          <w:rFonts w:cs="Arial"/>
        </w:rPr>
        <w:t xml:space="preserve">4 </w:t>
      </w:r>
      <w:r w:rsidR="00A977D4">
        <w:rPr>
          <w:rFonts w:cs="Arial"/>
        </w:rPr>
        <w:t>Fixed term</w:t>
      </w:r>
      <w:r w:rsidR="001974C0">
        <w:rPr>
          <w:rFonts w:cs="Arial"/>
        </w:rPr>
        <w:t xml:space="preserve"> </w:t>
      </w:r>
      <w:r w:rsidR="00C334BE">
        <w:rPr>
          <w:rFonts w:cs="Arial"/>
        </w:rPr>
        <w:t xml:space="preserve">investigation staff together with a </w:t>
      </w:r>
      <w:r w:rsidR="00A977D4">
        <w:rPr>
          <w:rFonts w:cs="Arial"/>
        </w:rPr>
        <w:t xml:space="preserve">part time </w:t>
      </w:r>
      <w:r w:rsidR="00C334BE">
        <w:rPr>
          <w:rFonts w:cs="Arial"/>
        </w:rPr>
        <w:t xml:space="preserve">Legal </w:t>
      </w:r>
      <w:r w:rsidR="00A977D4">
        <w:rPr>
          <w:rFonts w:cs="Arial"/>
        </w:rPr>
        <w:t>O</w:t>
      </w:r>
      <w:r w:rsidR="00C334BE">
        <w:rPr>
          <w:rFonts w:cs="Arial"/>
        </w:rPr>
        <w:t xml:space="preserve">fficer </w:t>
      </w:r>
      <w:r w:rsidR="001974C0">
        <w:rPr>
          <w:rFonts w:cs="Arial"/>
        </w:rPr>
        <w:t xml:space="preserve">will be recruited by </w:t>
      </w:r>
      <w:r>
        <w:rPr>
          <w:rFonts w:cs="Arial"/>
        </w:rPr>
        <w:t xml:space="preserve">August 2015 </w:t>
      </w:r>
      <w:r w:rsidR="001974C0">
        <w:rPr>
          <w:rFonts w:cs="Arial"/>
        </w:rPr>
        <w:t>to de</w:t>
      </w:r>
      <w:r w:rsidR="00A977D4">
        <w:rPr>
          <w:rFonts w:cs="Arial"/>
        </w:rPr>
        <w:t>liver the project.</w:t>
      </w:r>
    </w:p>
    <w:p w:rsidR="001974C0" w:rsidRDefault="001974C0" w:rsidP="00061BBD">
      <w:pPr>
        <w:rPr>
          <w:rFonts w:cs="Arial"/>
        </w:rPr>
      </w:pPr>
    </w:p>
    <w:p w:rsidR="001974C0" w:rsidRDefault="00302A89" w:rsidP="00061BBD">
      <w:pPr>
        <w:rPr>
          <w:rFonts w:cs="Arial"/>
          <w:b/>
        </w:rPr>
      </w:pPr>
      <w:r>
        <w:rPr>
          <w:rFonts w:cs="Arial"/>
          <w:b/>
        </w:rPr>
        <w:t xml:space="preserve">      </w:t>
      </w:r>
      <w:r w:rsidR="001974C0" w:rsidRPr="00061BBD">
        <w:rPr>
          <w:rFonts w:cs="Arial"/>
          <w:b/>
        </w:rPr>
        <w:t>Fraud and Error Reduction Incentive Scheme (FERIS)</w:t>
      </w:r>
    </w:p>
    <w:p w:rsidR="00302A89" w:rsidRPr="00061BBD" w:rsidRDefault="00302A89" w:rsidP="00061BBD">
      <w:pPr>
        <w:rPr>
          <w:rFonts w:cs="Arial"/>
          <w:b/>
        </w:rPr>
      </w:pPr>
    </w:p>
    <w:p w:rsidR="001974C0" w:rsidRDefault="00364C98" w:rsidP="00364C98">
      <w:pPr>
        <w:pStyle w:val="ListParagraph"/>
        <w:numPr>
          <w:ilvl w:val="0"/>
          <w:numId w:val="2"/>
        </w:numPr>
        <w:rPr>
          <w:rFonts w:cs="Arial"/>
        </w:rPr>
      </w:pPr>
      <w:r>
        <w:rPr>
          <w:rFonts w:cs="Arial"/>
        </w:rPr>
        <w:t xml:space="preserve">The Council submitted a bid for </w:t>
      </w:r>
      <w:r w:rsidR="00061BBD">
        <w:rPr>
          <w:rFonts w:cs="Arial"/>
        </w:rPr>
        <w:t>£14,000</w:t>
      </w:r>
      <w:r>
        <w:rPr>
          <w:rFonts w:cs="Arial"/>
        </w:rPr>
        <w:t xml:space="preserve"> to </w:t>
      </w:r>
      <w:r w:rsidR="00061BBD">
        <w:rPr>
          <w:rFonts w:cs="Arial"/>
        </w:rPr>
        <w:t xml:space="preserve">the Department for Work and Pensions in relation to the FERIS scheme. </w:t>
      </w:r>
      <w:r>
        <w:rPr>
          <w:rFonts w:cs="Arial"/>
        </w:rPr>
        <w:t xml:space="preserve">The </w:t>
      </w:r>
      <w:r w:rsidR="00E67085">
        <w:rPr>
          <w:rFonts w:cs="Arial"/>
        </w:rPr>
        <w:t>C</w:t>
      </w:r>
      <w:r>
        <w:rPr>
          <w:rFonts w:cs="Arial"/>
        </w:rPr>
        <w:t>ouncil was notified that it had been successful in</w:t>
      </w:r>
      <w:r w:rsidR="00061BBD">
        <w:rPr>
          <w:rFonts w:cs="Arial"/>
        </w:rPr>
        <w:t xml:space="preserve"> February 2015.</w:t>
      </w:r>
    </w:p>
    <w:p w:rsidR="007B7D9D" w:rsidRDefault="007B7D9D" w:rsidP="007B7D9D">
      <w:pPr>
        <w:pStyle w:val="ListParagraph"/>
        <w:rPr>
          <w:rFonts w:cs="Arial"/>
        </w:rPr>
      </w:pPr>
    </w:p>
    <w:p w:rsidR="00AC5264" w:rsidRPr="00A1002B" w:rsidRDefault="00AC5264" w:rsidP="00061BBD">
      <w:pPr>
        <w:pStyle w:val="ListParagraph"/>
        <w:ind w:hanging="294"/>
        <w:rPr>
          <w:rFonts w:cs="Arial"/>
          <w:b/>
        </w:rPr>
      </w:pPr>
      <w:r w:rsidRPr="00A1002B">
        <w:rPr>
          <w:rFonts w:cs="Arial"/>
          <w:b/>
        </w:rPr>
        <w:t xml:space="preserve">Working </w:t>
      </w:r>
      <w:proofErr w:type="gramStart"/>
      <w:r w:rsidRPr="00A1002B">
        <w:rPr>
          <w:rFonts w:cs="Arial"/>
          <w:b/>
        </w:rPr>
        <w:t>With</w:t>
      </w:r>
      <w:proofErr w:type="gramEnd"/>
      <w:r w:rsidRPr="00A1002B">
        <w:rPr>
          <w:rFonts w:cs="Arial"/>
          <w:b/>
        </w:rPr>
        <w:t xml:space="preserve"> Other Organisations</w:t>
      </w:r>
    </w:p>
    <w:p w:rsidR="00061BBD" w:rsidRPr="007B7D9D" w:rsidRDefault="00061BBD" w:rsidP="00061BBD">
      <w:pPr>
        <w:pStyle w:val="ListParagraph"/>
        <w:ind w:hanging="294"/>
        <w:rPr>
          <w:rFonts w:cs="Arial"/>
        </w:rPr>
      </w:pPr>
    </w:p>
    <w:p w:rsidR="007B7D9D" w:rsidRDefault="007116E7" w:rsidP="00BC7BE2">
      <w:pPr>
        <w:pStyle w:val="ListParagraph"/>
        <w:numPr>
          <w:ilvl w:val="0"/>
          <w:numId w:val="2"/>
        </w:numPr>
        <w:rPr>
          <w:rFonts w:cs="Arial"/>
        </w:rPr>
      </w:pPr>
      <w:r>
        <w:rPr>
          <w:rFonts w:cs="Arial"/>
        </w:rPr>
        <w:t xml:space="preserve">Oxfordshire County Council </w:t>
      </w:r>
      <w:proofErr w:type="gramStart"/>
      <w:r>
        <w:rPr>
          <w:rFonts w:cs="Arial"/>
        </w:rPr>
        <w:t>were</w:t>
      </w:r>
      <w:proofErr w:type="gramEnd"/>
      <w:r>
        <w:rPr>
          <w:rFonts w:cs="Arial"/>
        </w:rPr>
        <w:t xml:space="preserve"> successful in their </w:t>
      </w:r>
      <w:r w:rsidR="00AC5264">
        <w:rPr>
          <w:rFonts w:cs="Arial"/>
        </w:rPr>
        <w:t>£8</w:t>
      </w:r>
      <w:r w:rsidR="00ED1932">
        <w:rPr>
          <w:rFonts w:cs="Arial"/>
        </w:rPr>
        <w:t>1</w:t>
      </w:r>
      <w:r w:rsidR="00AC5264">
        <w:rPr>
          <w:rFonts w:cs="Arial"/>
        </w:rPr>
        <w:t xml:space="preserve">k </w:t>
      </w:r>
      <w:r>
        <w:rPr>
          <w:rFonts w:cs="Arial"/>
        </w:rPr>
        <w:t>bid to DCLG and were awarded funding based on a link with the City bid. The aim is for the City Investigation Team to provide an investigation resource to the County to tackle high risk areas that have not previously been addresse</w:t>
      </w:r>
      <w:r w:rsidR="00ED1932">
        <w:rPr>
          <w:rFonts w:cs="Arial"/>
        </w:rPr>
        <w:t>d</w:t>
      </w:r>
      <w:r>
        <w:rPr>
          <w:rFonts w:cs="Arial"/>
        </w:rPr>
        <w:t>, such as Social Care. Liaison meetings with the County have taken place and training for City staff in County processes and procedures is due to take place in the near future.</w:t>
      </w:r>
    </w:p>
    <w:p w:rsidR="007116E7" w:rsidRPr="007116E7" w:rsidRDefault="007116E7" w:rsidP="007116E7">
      <w:pPr>
        <w:pStyle w:val="ListParagraph"/>
        <w:rPr>
          <w:rFonts w:cs="Arial"/>
        </w:rPr>
      </w:pPr>
    </w:p>
    <w:p w:rsidR="007116E7" w:rsidRPr="007B7D9D" w:rsidRDefault="007116E7" w:rsidP="00BC7BE2">
      <w:pPr>
        <w:pStyle w:val="ListParagraph"/>
        <w:numPr>
          <w:ilvl w:val="0"/>
          <w:numId w:val="2"/>
        </w:numPr>
        <w:rPr>
          <w:rFonts w:cs="Arial"/>
        </w:rPr>
      </w:pPr>
      <w:r>
        <w:rPr>
          <w:rFonts w:cs="Arial"/>
        </w:rPr>
        <w:t xml:space="preserve">Further work with the County Council is underway and the option for the Investigation Team to conduct the Single Person Discount review exercise, currently undertaken by Capita, is being </w:t>
      </w:r>
      <w:r w:rsidR="00617287">
        <w:rPr>
          <w:rFonts w:cs="Arial"/>
        </w:rPr>
        <w:t>consid</w:t>
      </w:r>
      <w:r>
        <w:rPr>
          <w:rFonts w:cs="Arial"/>
        </w:rPr>
        <w:t>e</w:t>
      </w:r>
      <w:r w:rsidR="00617287">
        <w:rPr>
          <w:rFonts w:cs="Arial"/>
        </w:rPr>
        <w:t>re</w:t>
      </w:r>
      <w:r>
        <w:rPr>
          <w:rFonts w:cs="Arial"/>
        </w:rPr>
        <w:t xml:space="preserve">d. The data warehouse would be used </w:t>
      </w:r>
      <w:r w:rsidR="00617287">
        <w:rPr>
          <w:rFonts w:cs="Arial"/>
        </w:rPr>
        <w:t>to facilitate this and the exercise could be conducted</w:t>
      </w:r>
      <w:r>
        <w:rPr>
          <w:rFonts w:cs="Arial"/>
        </w:rPr>
        <w:t xml:space="preserve"> at a county wide level. Legal issues, cost benefits and </w:t>
      </w:r>
      <w:r w:rsidR="00617287">
        <w:rPr>
          <w:rFonts w:cs="Arial"/>
        </w:rPr>
        <w:t>deliverability are being discussed before a decision is made to proceed.</w:t>
      </w:r>
    </w:p>
    <w:p w:rsidR="00036F46" w:rsidRDefault="00036F46">
      <w:pPr>
        <w:rPr>
          <w:rFonts w:cs="Arial"/>
          <w:b/>
        </w:rPr>
      </w:pPr>
    </w:p>
    <w:p w:rsidR="00173F5F" w:rsidRPr="00173F5F" w:rsidRDefault="00173F5F" w:rsidP="00173F5F">
      <w:pPr>
        <w:rPr>
          <w:rFonts w:cs="Arial"/>
        </w:rPr>
      </w:pPr>
    </w:p>
    <w:p w:rsidR="00617287" w:rsidRDefault="00617287" w:rsidP="00617287">
      <w:pPr>
        <w:pStyle w:val="ListParagraph"/>
        <w:numPr>
          <w:ilvl w:val="0"/>
          <w:numId w:val="2"/>
        </w:numPr>
        <w:rPr>
          <w:rFonts w:cs="Arial"/>
        </w:rPr>
      </w:pPr>
      <w:r>
        <w:rPr>
          <w:rFonts w:cs="Arial"/>
        </w:rPr>
        <w:t xml:space="preserve">Liaison meetings with South Oxfordshire and Vale of White Horse </w:t>
      </w:r>
      <w:r w:rsidR="00AC5264">
        <w:rPr>
          <w:rFonts w:cs="Arial"/>
        </w:rPr>
        <w:t xml:space="preserve">District Councils </w:t>
      </w:r>
      <w:r>
        <w:rPr>
          <w:rFonts w:cs="Arial"/>
        </w:rPr>
        <w:t>have taken place for future joint working arrangements</w:t>
      </w:r>
      <w:r w:rsidR="00364C98">
        <w:rPr>
          <w:rFonts w:cs="Arial"/>
        </w:rPr>
        <w:t xml:space="preserve"> to provide resources for </w:t>
      </w:r>
      <w:r w:rsidR="00ED1932">
        <w:rPr>
          <w:rFonts w:cs="Arial"/>
        </w:rPr>
        <w:t xml:space="preserve">corporate </w:t>
      </w:r>
      <w:r w:rsidR="00364C98">
        <w:rPr>
          <w:rFonts w:cs="Arial"/>
        </w:rPr>
        <w:t xml:space="preserve">investigation </w:t>
      </w:r>
      <w:r w:rsidR="00ED1932">
        <w:rPr>
          <w:rFonts w:cs="Arial"/>
        </w:rPr>
        <w:t xml:space="preserve">work in their respective districts. High risk areas identified for investigation include Council Tax discounts, Non Domestic Rates, and Council Tax Reduction Scheme cases. </w:t>
      </w:r>
      <w:r>
        <w:rPr>
          <w:rFonts w:cs="Arial"/>
        </w:rPr>
        <w:t xml:space="preserve">The previous partnership working arrangement with South and Vale identified £116,000 </w:t>
      </w:r>
      <w:r>
        <w:rPr>
          <w:rFonts w:cs="Arial"/>
        </w:rPr>
        <w:lastRenderedPageBreak/>
        <w:t>in overpaid benefits, and saved the councils from paying out a further £66,700 in fraudulently claimed benefits.</w:t>
      </w:r>
    </w:p>
    <w:p w:rsidR="00617287" w:rsidRPr="00617287" w:rsidRDefault="00617287" w:rsidP="00617287">
      <w:pPr>
        <w:pStyle w:val="ListParagraph"/>
        <w:rPr>
          <w:rFonts w:cs="Arial"/>
        </w:rPr>
      </w:pPr>
    </w:p>
    <w:p w:rsidR="00617287" w:rsidRDefault="00617287" w:rsidP="00617287">
      <w:pPr>
        <w:pStyle w:val="ListParagraph"/>
        <w:numPr>
          <w:ilvl w:val="0"/>
          <w:numId w:val="2"/>
        </w:numPr>
        <w:rPr>
          <w:rFonts w:cs="Arial"/>
        </w:rPr>
      </w:pPr>
      <w:r>
        <w:rPr>
          <w:rFonts w:cs="Arial"/>
        </w:rPr>
        <w:t xml:space="preserve">South and Vale </w:t>
      </w:r>
      <w:r w:rsidR="00AC5264">
        <w:rPr>
          <w:rFonts w:cs="Arial"/>
        </w:rPr>
        <w:t xml:space="preserve">District Councils </w:t>
      </w:r>
      <w:r w:rsidR="00364C98">
        <w:rPr>
          <w:rFonts w:cs="Arial"/>
        </w:rPr>
        <w:t xml:space="preserve">have also </w:t>
      </w:r>
      <w:r>
        <w:rPr>
          <w:rFonts w:cs="Arial"/>
        </w:rPr>
        <w:t xml:space="preserve">requested that Oxford City Council </w:t>
      </w:r>
      <w:r w:rsidR="00364C98">
        <w:rPr>
          <w:rFonts w:cs="Arial"/>
        </w:rPr>
        <w:t xml:space="preserve">carry out work on FERIS following their successful bid for </w:t>
      </w:r>
      <w:r w:rsidR="00ED1932">
        <w:rPr>
          <w:rFonts w:cs="Arial"/>
        </w:rPr>
        <w:t>£17,000</w:t>
      </w:r>
      <w:r w:rsidR="00B65FC8">
        <w:rPr>
          <w:rFonts w:cs="Arial"/>
        </w:rPr>
        <w:t xml:space="preserve"> f</w:t>
      </w:r>
      <w:r w:rsidR="00364C98">
        <w:rPr>
          <w:rFonts w:cs="Arial"/>
        </w:rPr>
        <w:t>rom the DWP</w:t>
      </w:r>
      <w:r w:rsidR="00ED1932">
        <w:rPr>
          <w:rFonts w:cs="Arial"/>
        </w:rPr>
        <w:t>.</w:t>
      </w:r>
    </w:p>
    <w:p w:rsidR="00364C98" w:rsidRPr="00364C98" w:rsidRDefault="00364C98" w:rsidP="00ED1932">
      <w:pPr>
        <w:pStyle w:val="ListParagraph"/>
        <w:rPr>
          <w:rFonts w:cs="Arial"/>
        </w:rPr>
      </w:pPr>
    </w:p>
    <w:p w:rsidR="00364C98" w:rsidRDefault="00364C98" w:rsidP="00617287">
      <w:pPr>
        <w:pStyle w:val="ListParagraph"/>
        <w:numPr>
          <w:ilvl w:val="0"/>
          <w:numId w:val="2"/>
        </w:numPr>
        <w:rPr>
          <w:rFonts w:cs="Arial"/>
        </w:rPr>
      </w:pPr>
      <w:r>
        <w:rPr>
          <w:rFonts w:cs="Arial"/>
        </w:rPr>
        <w:t xml:space="preserve">The implementation of the Intec Data Warehouse system will not only provide a valuable datamatching resource for </w:t>
      </w:r>
      <w:r w:rsidR="00C334BE">
        <w:rPr>
          <w:rFonts w:cs="Arial"/>
        </w:rPr>
        <w:t>the C</w:t>
      </w:r>
      <w:r>
        <w:rPr>
          <w:rFonts w:cs="Arial"/>
        </w:rPr>
        <w:t xml:space="preserve">ouncil but also all further marketing of the </w:t>
      </w:r>
      <w:r w:rsidR="00A53031">
        <w:rPr>
          <w:rFonts w:cs="Arial"/>
        </w:rPr>
        <w:t>Investigation</w:t>
      </w:r>
      <w:r>
        <w:rPr>
          <w:rFonts w:cs="Arial"/>
        </w:rPr>
        <w:t xml:space="preserve"> Team Services with County, South and Vale District Councils, other Oxfordshire Districts and Registered Social Landlords and so move the Council further forward in establishing the concept of a Fraud Investigation Hub in Oxfordshire County.</w:t>
      </w:r>
    </w:p>
    <w:p w:rsidR="00D00019" w:rsidRPr="00C3462F" w:rsidRDefault="00D00019" w:rsidP="00C3462F">
      <w:pPr>
        <w:pStyle w:val="ListParagraph"/>
        <w:rPr>
          <w:rFonts w:cs="Arial"/>
        </w:rPr>
      </w:pPr>
    </w:p>
    <w:p w:rsidR="00C3462F" w:rsidRDefault="00C3462F" w:rsidP="00C3462F">
      <w:pPr>
        <w:rPr>
          <w:rFonts w:cs="Arial"/>
          <w:b/>
        </w:rPr>
      </w:pPr>
      <w:r>
        <w:rPr>
          <w:rFonts w:cs="Arial"/>
          <w:b/>
        </w:rPr>
        <w:t>Other developments</w:t>
      </w:r>
    </w:p>
    <w:p w:rsidR="00C3462F" w:rsidRDefault="00C3462F" w:rsidP="00C3462F">
      <w:pPr>
        <w:rPr>
          <w:rFonts w:cs="Arial"/>
          <w:b/>
        </w:rPr>
      </w:pPr>
    </w:p>
    <w:p w:rsidR="00492497" w:rsidRPr="00B65FC8" w:rsidRDefault="00C3462F" w:rsidP="00B65FC8">
      <w:pPr>
        <w:pStyle w:val="ListParagraph"/>
        <w:numPr>
          <w:ilvl w:val="0"/>
          <w:numId w:val="2"/>
        </w:numPr>
        <w:rPr>
          <w:rFonts w:cs="Arial"/>
        </w:rPr>
      </w:pPr>
      <w:r w:rsidRPr="00B65FC8">
        <w:rPr>
          <w:rFonts w:cs="Arial"/>
        </w:rPr>
        <w:t xml:space="preserve">The Identification Document scanner software </w:t>
      </w:r>
      <w:r w:rsidR="00BE7F05" w:rsidRPr="00B65FC8">
        <w:rPr>
          <w:rFonts w:cs="Arial"/>
        </w:rPr>
        <w:t>was rolled</w:t>
      </w:r>
      <w:r w:rsidRPr="00B65FC8">
        <w:rPr>
          <w:rFonts w:cs="Arial"/>
        </w:rPr>
        <w:t xml:space="preserve"> out across </w:t>
      </w:r>
      <w:r w:rsidR="00364C98" w:rsidRPr="00B65FC8">
        <w:rPr>
          <w:rFonts w:cs="Arial"/>
        </w:rPr>
        <w:t xml:space="preserve">a number </w:t>
      </w:r>
      <w:r w:rsidR="00BE7F05" w:rsidRPr="00B65FC8">
        <w:rPr>
          <w:rFonts w:cs="Arial"/>
        </w:rPr>
        <w:t>of service</w:t>
      </w:r>
      <w:r w:rsidRPr="00B65FC8">
        <w:rPr>
          <w:rFonts w:cs="Arial"/>
        </w:rPr>
        <w:t xml:space="preserve"> areas</w:t>
      </w:r>
      <w:r w:rsidR="00364C98" w:rsidRPr="00B65FC8">
        <w:rPr>
          <w:rFonts w:cs="Arial"/>
        </w:rPr>
        <w:t xml:space="preserve"> including</w:t>
      </w:r>
      <w:r w:rsidR="00D00019" w:rsidRPr="00B65FC8">
        <w:rPr>
          <w:rFonts w:cs="Arial"/>
        </w:rPr>
        <w:t xml:space="preserve"> Human Resources, Customer Services and Housing</w:t>
      </w:r>
      <w:r w:rsidRPr="00B65FC8">
        <w:rPr>
          <w:rFonts w:cs="Arial"/>
        </w:rPr>
        <w:t xml:space="preserve">. </w:t>
      </w:r>
      <w:r w:rsidR="007D3155" w:rsidRPr="00B65FC8">
        <w:rPr>
          <w:rFonts w:cs="Arial"/>
        </w:rPr>
        <w:t xml:space="preserve">Since </w:t>
      </w:r>
      <w:r w:rsidR="00BE7F05" w:rsidRPr="00B65FC8">
        <w:rPr>
          <w:rFonts w:cs="Arial"/>
        </w:rPr>
        <w:t>its</w:t>
      </w:r>
      <w:r w:rsidR="007D3155" w:rsidRPr="00B65FC8">
        <w:rPr>
          <w:rFonts w:cs="Arial"/>
        </w:rPr>
        <w:t xml:space="preserve"> implementation in June 2014, 3000 identity documents have been scanned</w:t>
      </w:r>
      <w:r w:rsidR="00733FED" w:rsidRPr="00B65FC8">
        <w:rPr>
          <w:rFonts w:cs="Arial"/>
        </w:rPr>
        <w:t>, the majority have which have been verified as genuine providing confidence and assurance that only those entitled to access a Council service are doing so.</w:t>
      </w:r>
      <w:r w:rsidR="00B65FC8" w:rsidRPr="00B65FC8">
        <w:rPr>
          <w:rFonts w:cs="Arial"/>
        </w:rPr>
        <w:t xml:space="preserve"> </w:t>
      </w:r>
      <w:r w:rsidRPr="00B65FC8">
        <w:rPr>
          <w:rFonts w:cs="Arial"/>
        </w:rPr>
        <w:t>The new software features a user intuitive interface, better reliability, a workflow document authentication process for dealing with suspicious documents and the ability to scan and verify UK driving licences.</w:t>
      </w:r>
      <w:r w:rsidR="000E3A8A" w:rsidRPr="00B65FC8">
        <w:rPr>
          <w:rFonts w:cs="Arial"/>
        </w:rPr>
        <w:t xml:space="preserve"> The Human Resources department now has an ID scanner within the service to help ensure that every new Council employee provides authentic documents, and has the right to work in the UK.</w:t>
      </w:r>
    </w:p>
    <w:p w:rsidR="00173F5F" w:rsidRPr="000E3A8A" w:rsidRDefault="00173F5F" w:rsidP="000E3A8A">
      <w:pPr>
        <w:pStyle w:val="ListParagraph"/>
        <w:rPr>
          <w:rFonts w:cs="Arial"/>
        </w:rPr>
      </w:pPr>
    </w:p>
    <w:p w:rsidR="00B65FC8" w:rsidRPr="00B65FC8" w:rsidRDefault="00C3462F" w:rsidP="00B65FC8">
      <w:pPr>
        <w:pStyle w:val="ListParagraph"/>
        <w:numPr>
          <w:ilvl w:val="0"/>
          <w:numId w:val="2"/>
        </w:numPr>
        <w:rPr>
          <w:rFonts w:cs="Arial"/>
          <w:b/>
        </w:rPr>
      </w:pPr>
      <w:r w:rsidRPr="00B65FC8">
        <w:rPr>
          <w:rFonts w:cs="Arial"/>
        </w:rPr>
        <w:t xml:space="preserve">The team contributed towards the development of the Corporate </w:t>
      </w:r>
      <w:r w:rsidRPr="00D52070">
        <w:rPr>
          <w:rFonts w:cs="Arial"/>
        </w:rPr>
        <w:t>Smartphone App which now features the ability for members of the public to report suspicions of fraud via the app.</w:t>
      </w:r>
      <w:r w:rsidR="003D7522" w:rsidRPr="00C17C81">
        <w:rPr>
          <w:rFonts w:cs="Arial"/>
        </w:rPr>
        <w:t xml:space="preserve"> The facility went live in January 2015 but no referrals have yet been received via this medium. Since its release in December 2014, there have been</w:t>
      </w:r>
      <w:r w:rsidR="003D7522" w:rsidRPr="00B65FC8">
        <w:rPr>
          <w:rFonts w:cs="Arial"/>
        </w:rPr>
        <w:t xml:space="preserve"> </w:t>
      </w:r>
      <w:r w:rsidR="00115173">
        <w:rPr>
          <w:rFonts w:cs="Arial"/>
        </w:rPr>
        <w:t>1022</w:t>
      </w:r>
      <w:r w:rsidR="003D7522" w:rsidRPr="00B65FC8">
        <w:rPr>
          <w:rFonts w:cs="Arial"/>
        </w:rPr>
        <w:t xml:space="preserve"> downloads of the </w:t>
      </w:r>
      <w:r w:rsidR="00A1002B">
        <w:rPr>
          <w:rFonts w:cs="Arial"/>
        </w:rPr>
        <w:t>app from the iTunes and Android stores.</w:t>
      </w:r>
    </w:p>
    <w:p w:rsidR="00B65FC8" w:rsidRPr="00B65FC8" w:rsidRDefault="00B65FC8" w:rsidP="00B65FC8">
      <w:pPr>
        <w:pStyle w:val="ListParagraph"/>
        <w:rPr>
          <w:rFonts w:cs="Arial"/>
          <w:b/>
        </w:rPr>
      </w:pPr>
    </w:p>
    <w:p w:rsidR="00617287" w:rsidRPr="00D52070" w:rsidRDefault="00D122C6" w:rsidP="00F64311">
      <w:pPr>
        <w:rPr>
          <w:rFonts w:cs="Arial"/>
          <w:b/>
        </w:rPr>
      </w:pPr>
      <w:r w:rsidRPr="00D52070">
        <w:rPr>
          <w:rFonts w:cs="Arial"/>
          <w:b/>
        </w:rPr>
        <w:t>Internal Investigations</w:t>
      </w:r>
    </w:p>
    <w:p w:rsidR="00D122C6" w:rsidRDefault="00D122C6">
      <w:pPr>
        <w:rPr>
          <w:rFonts w:cs="Arial"/>
          <w:b/>
        </w:rPr>
      </w:pPr>
    </w:p>
    <w:p w:rsidR="00D52070" w:rsidRPr="00302A89" w:rsidRDefault="00D122C6" w:rsidP="00302A89">
      <w:pPr>
        <w:pStyle w:val="ListParagraph"/>
        <w:numPr>
          <w:ilvl w:val="0"/>
          <w:numId w:val="2"/>
        </w:numPr>
        <w:rPr>
          <w:rFonts w:cs="Arial"/>
          <w:b/>
        </w:rPr>
      </w:pPr>
      <w:r w:rsidRPr="00302A89">
        <w:rPr>
          <w:rFonts w:cs="Arial"/>
        </w:rPr>
        <w:t xml:space="preserve">In the financial year, there were 4 investigations completed by the </w:t>
      </w:r>
      <w:r w:rsidR="00D0050D" w:rsidRPr="00302A89">
        <w:rPr>
          <w:rFonts w:cs="Arial"/>
        </w:rPr>
        <w:t>T</w:t>
      </w:r>
      <w:r w:rsidRPr="00302A89">
        <w:rPr>
          <w:rFonts w:cs="Arial"/>
        </w:rPr>
        <w:t>eam involving members of staff.</w:t>
      </w:r>
      <w:r w:rsidR="0027761A" w:rsidRPr="00302A89">
        <w:rPr>
          <w:rFonts w:cs="Arial"/>
        </w:rPr>
        <w:t xml:space="preserve"> One no longer works for the Council, one was issued </w:t>
      </w:r>
      <w:r w:rsidR="00016121" w:rsidRPr="00302A89">
        <w:rPr>
          <w:rFonts w:cs="Arial"/>
        </w:rPr>
        <w:t xml:space="preserve">with </w:t>
      </w:r>
      <w:r w:rsidR="0027761A" w:rsidRPr="00302A89">
        <w:rPr>
          <w:rFonts w:cs="Arial"/>
        </w:rPr>
        <w:t xml:space="preserve">a Final Written Warning, one concluded </w:t>
      </w:r>
      <w:r w:rsidR="00016121" w:rsidRPr="00302A89">
        <w:rPr>
          <w:rFonts w:cs="Arial"/>
        </w:rPr>
        <w:t xml:space="preserve">in </w:t>
      </w:r>
      <w:r w:rsidR="0027761A" w:rsidRPr="00302A89">
        <w:rPr>
          <w:rFonts w:cs="Arial"/>
        </w:rPr>
        <w:t xml:space="preserve">no action </w:t>
      </w:r>
      <w:r w:rsidR="00016121" w:rsidRPr="00302A89">
        <w:rPr>
          <w:rFonts w:cs="Arial"/>
        </w:rPr>
        <w:t xml:space="preserve">being taken </w:t>
      </w:r>
      <w:r w:rsidR="0027761A" w:rsidRPr="00302A89">
        <w:rPr>
          <w:rFonts w:cs="Arial"/>
        </w:rPr>
        <w:t>against the individual, and the other resulted in a warning letter being issued to a member of the public. See Appendix 1</w:t>
      </w:r>
      <w:r w:rsidR="00016121" w:rsidRPr="00302A89">
        <w:rPr>
          <w:rFonts w:cs="Arial"/>
        </w:rPr>
        <w:t xml:space="preserve"> for further information</w:t>
      </w:r>
      <w:r w:rsidR="0027761A" w:rsidRPr="00302A89">
        <w:rPr>
          <w:rFonts w:cs="Arial"/>
        </w:rPr>
        <w:t>.</w:t>
      </w:r>
    </w:p>
    <w:p w:rsidR="00302A89" w:rsidRPr="00302A89" w:rsidRDefault="00302A89" w:rsidP="00302A89">
      <w:pPr>
        <w:pStyle w:val="ListParagraph"/>
        <w:numPr>
          <w:ilvl w:val="0"/>
          <w:numId w:val="2"/>
        </w:numPr>
        <w:rPr>
          <w:rFonts w:cs="Arial"/>
          <w:b/>
        </w:rPr>
      </w:pPr>
    </w:p>
    <w:p w:rsidR="007B6E54" w:rsidRDefault="00C334BE">
      <w:pPr>
        <w:rPr>
          <w:rFonts w:cs="Arial"/>
          <w:b/>
        </w:rPr>
      </w:pPr>
      <w:r>
        <w:rPr>
          <w:rFonts w:cs="Arial"/>
          <w:b/>
        </w:rPr>
        <w:t xml:space="preserve">Right </w:t>
      </w:r>
      <w:proofErr w:type="gramStart"/>
      <w:r>
        <w:rPr>
          <w:rFonts w:cs="Arial"/>
          <w:b/>
        </w:rPr>
        <w:t>To</w:t>
      </w:r>
      <w:proofErr w:type="gramEnd"/>
      <w:r>
        <w:rPr>
          <w:rFonts w:cs="Arial"/>
          <w:b/>
        </w:rPr>
        <w:t xml:space="preserve"> Buy Applications</w:t>
      </w:r>
    </w:p>
    <w:p w:rsidR="002A48DC" w:rsidRDefault="002A48DC">
      <w:pPr>
        <w:rPr>
          <w:rFonts w:cs="Arial"/>
          <w:b/>
        </w:rPr>
      </w:pPr>
    </w:p>
    <w:p w:rsidR="00955477" w:rsidRPr="00E87C12" w:rsidRDefault="0058170A" w:rsidP="00E87C12">
      <w:pPr>
        <w:pStyle w:val="ListParagraph"/>
        <w:numPr>
          <w:ilvl w:val="0"/>
          <w:numId w:val="2"/>
        </w:numPr>
        <w:rPr>
          <w:rFonts w:cs="Arial"/>
        </w:rPr>
      </w:pPr>
      <w:r w:rsidRPr="00E87C12">
        <w:rPr>
          <w:rFonts w:cs="Arial"/>
        </w:rPr>
        <w:t xml:space="preserve">By the beginning of the </w:t>
      </w:r>
      <w:r w:rsidR="00A63D9D" w:rsidRPr="00E87C12">
        <w:rPr>
          <w:rFonts w:cs="Arial"/>
        </w:rPr>
        <w:t xml:space="preserve">2014/15 </w:t>
      </w:r>
      <w:r w:rsidRPr="00E87C12">
        <w:rPr>
          <w:rFonts w:cs="Arial"/>
        </w:rPr>
        <w:t xml:space="preserve">financial year, a due diligence process had been developed within the </w:t>
      </w:r>
      <w:r w:rsidR="00016121">
        <w:rPr>
          <w:rFonts w:cs="Arial"/>
        </w:rPr>
        <w:t>T</w:t>
      </w:r>
      <w:r w:rsidRPr="00E87C12">
        <w:rPr>
          <w:rFonts w:cs="Arial"/>
        </w:rPr>
        <w:t xml:space="preserve">eam in respect of Right to Buy </w:t>
      </w:r>
      <w:r w:rsidRPr="00E87C12">
        <w:rPr>
          <w:rFonts w:cs="Arial"/>
        </w:rPr>
        <w:lastRenderedPageBreak/>
        <w:t>applications. The aim of the proce</w:t>
      </w:r>
      <w:r w:rsidR="00955477" w:rsidRPr="00E87C12">
        <w:rPr>
          <w:rFonts w:cs="Arial"/>
        </w:rPr>
        <w:t>ss is to protect the Council against</w:t>
      </w:r>
      <w:r w:rsidRPr="00E87C12">
        <w:rPr>
          <w:rFonts w:cs="Arial"/>
        </w:rPr>
        <w:t xml:space="preserve"> money laundering</w:t>
      </w:r>
      <w:r w:rsidR="00955477" w:rsidRPr="00E87C12">
        <w:rPr>
          <w:rFonts w:cs="Arial"/>
        </w:rPr>
        <w:t>.</w:t>
      </w:r>
    </w:p>
    <w:p w:rsidR="00955477" w:rsidRDefault="00955477">
      <w:pPr>
        <w:rPr>
          <w:rFonts w:cs="Arial"/>
        </w:rPr>
      </w:pPr>
    </w:p>
    <w:p w:rsidR="0058170A" w:rsidRPr="00E87C12" w:rsidRDefault="00955477" w:rsidP="00E87C12">
      <w:pPr>
        <w:pStyle w:val="ListParagraph"/>
        <w:numPr>
          <w:ilvl w:val="0"/>
          <w:numId w:val="2"/>
        </w:numPr>
        <w:rPr>
          <w:rFonts w:cs="Arial"/>
        </w:rPr>
      </w:pPr>
      <w:r w:rsidRPr="00E87C12">
        <w:rPr>
          <w:rFonts w:cs="Arial"/>
        </w:rPr>
        <w:t>The</w:t>
      </w:r>
      <w:r w:rsidR="0058170A" w:rsidRPr="00E87C12">
        <w:rPr>
          <w:rFonts w:cs="Arial"/>
        </w:rPr>
        <w:t xml:space="preserve"> Proceeds of Crime </w:t>
      </w:r>
      <w:r w:rsidR="004870FB" w:rsidRPr="00E87C12">
        <w:rPr>
          <w:rFonts w:cs="Arial"/>
        </w:rPr>
        <w:t>A</w:t>
      </w:r>
      <w:r w:rsidRPr="00E87C12">
        <w:rPr>
          <w:rFonts w:cs="Arial"/>
        </w:rPr>
        <w:t>ct makes it clear that i</w:t>
      </w:r>
      <w:r w:rsidR="0058170A" w:rsidRPr="00E87C12">
        <w:rPr>
          <w:rFonts w:cs="Arial"/>
        </w:rPr>
        <w:t>t is not permissible to accept that an applicant’s</w:t>
      </w:r>
      <w:r w:rsidR="004870FB" w:rsidRPr="00E87C12">
        <w:rPr>
          <w:rFonts w:cs="Arial"/>
        </w:rPr>
        <w:t xml:space="preserve"> solicitor has conducted the standard of checks required to verify the source of funds used to purchase a Council property.  </w:t>
      </w:r>
    </w:p>
    <w:p w:rsidR="0058170A" w:rsidRDefault="0058170A">
      <w:pPr>
        <w:rPr>
          <w:rFonts w:cs="Arial"/>
          <w:i/>
        </w:rPr>
      </w:pPr>
    </w:p>
    <w:p w:rsidR="004870FB" w:rsidRPr="00E87C12" w:rsidRDefault="004870FB" w:rsidP="00E87C12">
      <w:pPr>
        <w:pStyle w:val="ListParagraph"/>
        <w:numPr>
          <w:ilvl w:val="0"/>
          <w:numId w:val="2"/>
        </w:numPr>
        <w:rPr>
          <w:rFonts w:cs="Arial"/>
        </w:rPr>
      </w:pPr>
      <w:r w:rsidRPr="00E87C12">
        <w:rPr>
          <w:rFonts w:cs="Arial"/>
        </w:rPr>
        <w:t xml:space="preserve">Of the 83 Right to Buy applications received, 25 were from customers in receipt of Housing Benefit at the time of application, or within six months of making the application. These </w:t>
      </w:r>
      <w:r w:rsidR="00955477" w:rsidRPr="00E87C12">
        <w:rPr>
          <w:rFonts w:cs="Arial"/>
        </w:rPr>
        <w:t>wer</w:t>
      </w:r>
      <w:r w:rsidRPr="00E87C12">
        <w:rPr>
          <w:rFonts w:cs="Arial"/>
        </w:rPr>
        <w:t>e considered higher risk cases and were all therefore subject to full due diligence checks.</w:t>
      </w:r>
    </w:p>
    <w:p w:rsidR="004870FB" w:rsidRDefault="004870FB">
      <w:pPr>
        <w:rPr>
          <w:rFonts w:cs="Arial"/>
        </w:rPr>
      </w:pPr>
    </w:p>
    <w:p w:rsidR="004870FB" w:rsidRPr="00E87C12" w:rsidRDefault="00036F46" w:rsidP="00E87C12">
      <w:pPr>
        <w:pStyle w:val="ListParagraph"/>
        <w:numPr>
          <w:ilvl w:val="0"/>
          <w:numId w:val="2"/>
        </w:numPr>
        <w:rPr>
          <w:rFonts w:cs="Arial"/>
        </w:rPr>
      </w:pPr>
      <w:r w:rsidRPr="00E87C12">
        <w:rPr>
          <w:rFonts w:cs="Arial"/>
        </w:rPr>
        <w:t>From 1</w:t>
      </w:r>
      <w:r w:rsidRPr="00E87C12">
        <w:rPr>
          <w:rFonts w:cs="Arial"/>
          <w:vertAlign w:val="superscript"/>
        </w:rPr>
        <w:t>st</w:t>
      </w:r>
      <w:r w:rsidRPr="00E87C12">
        <w:rPr>
          <w:rFonts w:cs="Arial"/>
        </w:rPr>
        <w:t xml:space="preserve"> April 2015 </w:t>
      </w:r>
      <w:r w:rsidR="004B33E2" w:rsidRPr="00E87C12">
        <w:rPr>
          <w:rFonts w:cs="Arial"/>
        </w:rPr>
        <w:t xml:space="preserve">all Right to Buy applications submitted </w:t>
      </w:r>
      <w:r w:rsidRPr="00E87C12">
        <w:rPr>
          <w:rFonts w:cs="Arial"/>
        </w:rPr>
        <w:t xml:space="preserve">to the Council </w:t>
      </w:r>
      <w:r w:rsidR="004B33E2" w:rsidRPr="00E87C12">
        <w:rPr>
          <w:rFonts w:cs="Arial"/>
        </w:rPr>
        <w:t>are subject to the full due diligence checking pr</w:t>
      </w:r>
      <w:r w:rsidRPr="00E87C12">
        <w:rPr>
          <w:rFonts w:cs="Arial"/>
        </w:rPr>
        <w:t>ocess ensuring an enhanced level of protection against money laundering is in place for these high value transactions.</w:t>
      </w:r>
    </w:p>
    <w:p w:rsidR="00495B9F" w:rsidRDefault="00495B9F">
      <w:pPr>
        <w:rPr>
          <w:rFonts w:cs="Arial"/>
        </w:rPr>
      </w:pPr>
    </w:p>
    <w:p w:rsidR="00C334BE" w:rsidRDefault="00C334BE" w:rsidP="003D7522">
      <w:pPr>
        <w:ind w:left="360"/>
        <w:rPr>
          <w:rFonts w:cs="Arial"/>
          <w:b/>
        </w:rPr>
      </w:pPr>
      <w:r w:rsidRPr="003D7522">
        <w:rPr>
          <w:rFonts w:cs="Arial"/>
          <w:b/>
        </w:rPr>
        <w:t>Proceeds of Crime (POCA)</w:t>
      </w:r>
    </w:p>
    <w:p w:rsidR="00D52070" w:rsidRPr="003D7522" w:rsidRDefault="00D52070" w:rsidP="003D7522">
      <w:pPr>
        <w:ind w:left="360"/>
        <w:rPr>
          <w:rFonts w:cs="Arial"/>
          <w:b/>
        </w:rPr>
      </w:pPr>
    </w:p>
    <w:p w:rsidR="00495B9F" w:rsidRDefault="00495B9F" w:rsidP="00E87C12">
      <w:pPr>
        <w:pStyle w:val="ListParagraph"/>
        <w:numPr>
          <w:ilvl w:val="0"/>
          <w:numId w:val="2"/>
        </w:numPr>
        <w:rPr>
          <w:rFonts w:cs="Arial"/>
        </w:rPr>
      </w:pPr>
      <w:r w:rsidRPr="00E87C12">
        <w:rPr>
          <w:rFonts w:cs="Arial"/>
        </w:rPr>
        <w:t xml:space="preserve">The partnership arrangement with the Financial Investigation Service of Slough Borough Council remains active with bank accounts frozen whilst criminal convictions progress to conclusion. The previously reported value identified for recovery from frozen bank accounts was £115,000, but due to the accidental death of a customer shortly after being convicted, this figure </w:t>
      </w:r>
      <w:r w:rsidR="00955477" w:rsidRPr="00E87C12">
        <w:rPr>
          <w:rFonts w:cs="Arial"/>
        </w:rPr>
        <w:t>r</w:t>
      </w:r>
      <w:r w:rsidRPr="00E87C12">
        <w:rPr>
          <w:rFonts w:cs="Arial"/>
        </w:rPr>
        <w:t xml:space="preserve">educed to </w:t>
      </w:r>
      <w:r w:rsidR="00955477" w:rsidRPr="00E87C12">
        <w:rPr>
          <w:rFonts w:cs="Arial"/>
        </w:rPr>
        <w:t xml:space="preserve">£85,000. However, bank accounts belonging to </w:t>
      </w:r>
      <w:r w:rsidR="00955477" w:rsidRPr="00115173">
        <w:rPr>
          <w:rFonts w:cs="Arial"/>
        </w:rPr>
        <w:t>another customer</w:t>
      </w:r>
      <w:r w:rsidR="00955477" w:rsidRPr="00E87C12">
        <w:rPr>
          <w:rFonts w:cs="Arial"/>
        </w:rPr>
        <w:t xml:space="preserve"> have </w:t>
      </w:r>
      <w:r w:rsidR="004A414B" w:rsidRPr="00E87C12">
        <w:rPr>
          <w:rFonts w:cs="Arial"/>
        </w:rPr>
        <w:t xml:space="preserve">since </w:t>
      </w:r>
      <w:r w:rsidR="00955477" w:rsidRPr="00E87C12">
        <w:rPr>
          <w:rFonts w:cs="Arial"/>
        </w:rPr>
        <w:t>been frozen with £27,500 identified for recover</w:t>
      </w:r>
      <w:r w:rsidR="0093585C" w:rsidRPr="00E87C12">
        <w:rPr>
          <w:rFonts w:cs="Arial"/>
        </w:rPr>
        <w:t>y</w:t>
      </w:r>
      <w:r w:rsidR="004A414B" w:rsidRPr="00E87C12">
        <w:rPr>
          <w:rFonts w:cs="Arial"/>
        </w:rPr>
        <w:t>. This brings the total identified for recovery through Proceeds of Crime legislation to £112,500.</w:t>
      </w:r>
    </w:p>
    <w:p w:rsidR="00173F5F" w:rsidRPr="00E87C12" w:rsidRDefault="00173F5F" w:rsidP="00E87C12">
      <w:pPr>
        <w:pStyle w:val="ListParagraph"/>
        <w:rPr>
          <w:rFonts w:cs="Arial"/>
        </w:rPr>
      </w:pPr>
    </w:p>
    <w:p w:rsidR="005F7ECB" w:rsidRDefault="005F7ECB" w:rsidP="003D7522">
      <w:pPr>
        <w:pStyle w:val="ListParagraph"/>
        <w:ind w:hanging="294"/>
        <w:rPr>
          <w:rFonts w:cs="Arial"/>
          <w:b/>
        </w:rPr>
      </w:pPr>
      <w:r w:rsidRPr="003D7522">
        <w:rPr>
          <w:rFonts w:cs="Arial"/>
          <w:b/>
        </w:rPr>
        <w:t>Legal Implications</w:t>
      </w:r>
    </w:p>
    <w:p w:rsidR="00302A89" w:rsidRPr="003D7522" w:rsidRDefault="00302A89" w:rsidP="003D7522">
      <w:pPr>
        <w:pStyle w:val="ListParagraph"/>
        <w:ind w:hanging="294"/>
        <w:rPr>
          <w:rFonts w:cs="Arial"/>
          <w:b/>
        </w:rPr>
      </w:pPr>
    </w:p>
    <w:p w:rsidR="00492497" w:rsidRPr="00115173" w:rsidRDefault="00492497" w:rsidP="00492497">
      <w:pPr>
        <w:pStyle w:val="ListParagraph"/>
        <w:numPr>
          <w:ilvl w:val="0"/>
          <w:numId w:val="2"/>
        </w:numPr>
        <w:rPr>
          <w:rFonts w:cs="Arial"/>
        </w:rPr>
      </w:pPr>
      <w:r w:rsidRPr="00115173">
        <w:rPr>
          <w:rFonts w:cs="Arial"/>
        </w:rPr>
        <w:t>The continuing work of the Investigation Service, coupled with the Council’s Avoiding Bribery, Fraud and Corruption, Whistle blowing and Money Laundering policies and procedures</w:t>
      </w:r>
      <w:r w:rsidRPr="00115173">
        <w:rPr>
          <w:rFonts w:cs="Arial"/>
          <w:b/>
        </w:rPr>
        <w:t xml:space="preserve"> </w:t>
      </w:r>
      <w:r w:rsidRPr="00115173">
        <w:rPr>
          <w:rFonts w:cs="Arial"/>
        </w:rPr>
        <w:t>give assurance that the Authority is compliant with the Bribery Act 2010, the Money Laundering Regulations 2007 and the Proceeds of Crime Act 2002. Failure to adhere to the Policies would impact on the legal and reputational risk to the Council.</w:t>
      </w:r>
    </w:p>
    <w:p w:rsidR="00B65FC8" w:rsidRDefault="00B65FC8">
      <w:pPr>
        <w:rPr>
          <w:rFonts w:cs="Arial"/>
          <w:i/>
        </w:rPr>
      </w:pPr>
    </w:p>
    <w:p w:rsidR="007B6E54" w:rsidRDefault="00115173">
      <w:pPr>
        <w:rPr>
          <w:rFonts w:cs="Arial"/>
          <w:b/>
        </w:rPr>
      </w:pPr>
      <w:r>
        <w:rPr>
          <w:rFonts w:cs="Arial"/>
          <w:b/>
        </w:rPr>
        <w:t xml:space="preserve">      </w:t>
      </w:r>
      <w:r w:rsidR="006109E8">
        <w:rPr>
          <w:rFonts w:cs="Arial"/>
          <w:b/>
        </w:rPr>
        <w:t>Fi</w:t>
      </w:r>
      <w:r w:rsidR="007B6E54" w:rsidRPr="007B6E54">
        <w:rPr>
          <w:rFonts w:cs="Arial"/>
          <w:b/>
        </w:rPr>
        <w:t>nancial I</w:t>
      </w:r>
      <w:r w:rsidR="006109E8">
        <w:rPr>
          <w:rFonts w:cs="Arial"/>
          <w:b/>
        </w:rPr>
        <w:t>mplications</w:t>
      </w:r>
    </w:p>
    <w:p w:rsidR="00302A89" w:rsidRDefault="00302A89">
      <w:pPr>
        <w:rPr>
          <w:rFonts w:cs="Arial"/>
          <w:b/>
        </w:rPr>
      </w:pPr>
    </w:p>
    <w:p w:rsidR="007B6E54" w:rsidRPr="00B65FC8" w:rsidRDefault="006109E8" w:rsidP="00B65FC8">
      <w:pPr>
        <w:pStyle w:val="ListParagraph"/>
        <w:numPr>
          <w:ilvl w:val="0"/>
          <w:numId w:val="2"/>
        </w:numPr>
        <w:rPr>
          <w:rFonts w:cs="Arial"/>
        </w:rPr>
      </w:pPr>
      <w:r w:rsidRPr="00B65FC8">
        <w:rPr>
          <w:rFonts w:cs="Arial"/>
        </w:rPr>
        <w:t xml:space="preserve">The budgeted net cost of the team excluding income from the Housing Revenue Account is </w:t>
      </w:r>
      <w:r w:rsidR="007D3155" w:rsidRPr="00B65FC8">
        <w:rPr>
          <w:rFonts w:cs="Arial"/>
        </w:rPr>
        <w:t xml:space="preserve">£220,370 </w:t>
      </w:r>
      <w:r w:rsidRPr="00B65FC8">
        <w:rPr>
          <w:rFonts w:cs="Arial"/>
        </w:rPr>
        <w:t>for 2015/16 and the team are charged with making savings and income to at least recover these costs as an indication of value for money.</w:t>
      </w:r>
      <w:r w:rsidR="00CC54B4" w:rsidRPr="00B65FC8">
        <w:rPr>
          <w:rFonts w:cs="Arial"/>
        </w:rPr>
        <w:t xml:space="preserve"> This will be achieved by using the newly implemented </w:t>
      </w:r>
      <w:r w:rsidR="00A53031" w:rsidRPr="00B65FC8">
        <w:rPr>
          <w:rFonts w:cs="Arial"/>
        </w:rPr>
        <w:t>data warehouse</w:t>
      </w:r>
      <w:r w:rsidR="00CC54B4" w:rsidRPr="00B65FC8">
        <w:rPr>
          <w:rFonts w:cs="Arial"/>
        </w:rPr>
        <w:t xml:space="preserve"> to find fraud in all areas of </w:t>
      </w:r>
      <w:r w:rsidR="00A53031" w:rsidRPr="00B65FC8">
        <w:rPr>
          <w:rFonts w:cs="Arial"/>
        </w:rPr>
        <w:t>the</w:t>
      </w:r>
      <w:r w:rsidR="00CC54B4" w:rsidRPr="00B65FC8">
        <w:rPr>
          <w:rFonts w:cs="Arial"/>
        </w:rPr>
        <w:t xml:space="preserve"> Councils business and our partner organisations as well as income </w:t>
      </w:r>
      <w:r w:rsidR="00A53031" w:rsidRPr="00B65FC8">
        <w:rPr>
          <w:rFonts w:cs="Arial"/>
        </w:rPr>
        <w:t>generation</w:t>
      </w:r>
      <w:r w:rsidR="00CC54B4" w:rsidRPr="00B65FC8">
        <w:rPr>
          <w:rFonts w:cs="Arial"/>
        </w:rPr>
        <w:t xml:space="preserve"> from working with our </w:t>
      </w:r>
      <w:r w:rsidR="00A53031" w:rsidRPr="00B65FC8">
        <w:rPr>
          <w:rFonts w:cs="Arial"/>
        </w:rPr>
        <w:t>partners</w:t>
      </w:r>
      <w:r w:rsidR="00CC54B4" w:rsidRPr="00B65FC8">
        <w:rPr>
          <w:rFonts w:cs="Arial"/>
        </w:rPr>
        <w:t>.</w:t>
      </w:r>
    </w:p>
    <w:p w:rsidR="005512A2" w:rsidRDefault="005512A2">
      <w:pPr>
        <w:rPr>
          <w:rFonts w:cs="Arial"/>
          <w:b/>
        </w:rPr>
      </w:pPr>
    </w:p>
    <w:p w:rsidR="00302A89" w:rsidRDefault="00302A89">
      <w:pPr>
        <w:rPr>
          <w:rFonts w:cs="Arial"/>
          <w:b/>
        </w:rPr>
      </w:pPr>
    </w:p>
    <w:p w:rsidR="00CC54B4" w:rsidRDefault="00115173">
      <w:pPr>
        <w:rPr>
          <w:rFonts w:cs="Arial"/>
          <w:b/>
        </w:rPr>
      </w:pPr>
      <w:r>
        <w:rPr>
          <w:rFonts w:cs="Arial"/>
          <w:b/>
        </w:rPr>
        <w:lastRenderedPageBreak/>
        <w:t xml:space="preserve">      </w:t>
      </w:r>
      <w:r w:rsidR="00CC54B4">
        <w:rPr>
          <w:rFonts w:cs="Arial"/>
          <w:b/>
        </w:rPr>
        <w:t>Risk Implications</w:t>
      </w:r>
    </w:p>
    <w:p w:rsidR="00302A89" w:rsidRDefault="00302A89">
      <w:pPr>
        <w:rPr>
          <w:rFonts w:cs="Arial"/>
          <w:b/>
        </w:rPr>
      </w:pPr>
    </w:p>
    <w:p w:rsidR="00CC54B4" w:rsidRPr="00B65FC8" w:rsidRDefault="00CC54B4" w:rsidP="00B65FC8">
      <w:pPr>
        <w:pStyle w:val="ListParagraph"/>
        <w:numPr>
          <w:ilvl w:val="0"/>
          <w:numId w:val="2"/>
        </w:numPr>
        <w:rPr>
          <w:rFonts w:cs="Arial"/>
        </w:rPr>
      </w:pPr>
      <w:r w:rsidRPr="00B65FC8">
        <w:rPr>
          <w:rFonts w:cs="Arial"/>
        </w:rPr>
        <w:t xml:space="preserve">The risk of </w:t>
      </w:r>
      <w:r w:rsidR="00A53031" w:rsidRPr="00B65FC8">
        <w:rPr>
          <w:rFonts w:cs="Arial"/>
        </w:rPr>
        <w:t>fraud both from within the Councils business and impacting on the Councils business may be significant. The maintaining of a fraud investigation resource will act as a deterrent to fraudulent activity and the saving; both cashable and non-cashable is likely to more than offset the cost of running the Investigating Team</w:t>
      </w:r>
    </w:p>
    <w:p w:rsidR="003D7522" w:rsidRDefault="003D7522">
      <w:pPr>
        <w:rPr>
          <w:rFonts w:cs="Arial"/>
          <w:b/>
        </w:rPr>
      </w:pPr>
    </w:p>
    <w:p w:rsidR="007B6E54" w:rsidRDefault="00115173">
      <w:pPr>
        <w:rPr>
          <w:rFonts w:cs="Arial"/>
          <w:b/>
        </w:rPr>
      </w:pPr>
      <w:r>
        <w:rPr>
          <w:rFonts w:cs="Arial"/>
          <w:b/>
        </w:rPr>
        <w:t xml:space="preserve">      </w:t>
      </w:r>
      <w:r w:rsidR="007B6E54">
        <w:rPr>
          <w:rFonts w:cs="Arial"/>
          <w:b/>
        </w:rPr>
        <w:t>Environmental Impact</w:t>
      </w:r>
    </w:p>
    <w:p w:rsidR="007B6E54" w:rsidRDefault="007B6E54">
      <w:pPr>
        <w:rPr>
          <w:rFonts w:cs="Arial"/>
          <w:b/>
        </w:rPr>
      </w:pPr>
    </w:p>
    <w:p w:rsidR="007B6E54" w:rsidRPr="00B65FC8" w:rsidRDefault="0093585C" w:rsidP="00B65FC8">
      <w:pPr>
        <w:pStyle w:val="ListParagraph"/>
        <w:numPr>
          <w:ilvl w:val="0"/>
          <w:numId w:val="2"/>
        </w:numPr>
        <w:rPr>
          <w:rFonts w:cs="Arial"/>
        </w:rPr>
      </w:pPr>
      <w:r w:rsidRPr="00B65FC8">
        <w:rPr>
          <w:rFonts w:cs="Arial"/>
        </w:rPr>
        <w:t xml:space="preserve">The majority of visits undertaken by staff on the team are done using the Council pool vehicles. All staff </w:t>
      </w:r>
      <w:proofErr w:type="gramStart"/>
      <w:r w:rsidRPr="00B65FC8">
        <w:rPr>
          <w:rFonts w:cs="Arial"/>
        </w:rPr>
        <w:t>are</w:t>
      </w:r>
      <w:proofErr w:type="gramEnd"/>
      <w:r w:rsidRPr="00B65FC8">
        <w:rPr>
          <w:rFonts w:cs="Arial"/>
        </w:rPr>
        <w:t xml:space="preserve"> carbon footprint aware and always seek out the most environmentally friendly way of delivering the service.</w:t>
      </w:r>
    </w:p>
    <w:p w:rsidR="00713675" w:rsidRDefault="00713675" w:rsidP="00713675">
      <w:pPr>
        <w:rPr>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13675">
        <w:tc>
          <w:tcPr>
            <w:tcW w:w="8522" w:type="dxa"/>
          </w:tcPr>
          <w:p w:rsidR="00713675" w:rsidRDefault="00713675" w:rsidP="00855C66">
            <w:pPr>
              <w:tabs>
                <w:tab w:val="left" w:pos="720"/>
                <w:tab w:val="left" w:pos="1440"/>
                <w:tab w:val="left" w:pos="2160"/>
                <w:tab w:val="left" w:pos="2880"/>
              </w:tabs>
            </w:pPr>
            <w:r>
              <w:rPr>
                <w:b/>
                <w:bCs/>
              </w:rPr>
              <w:t>Name and contact details of author:-</w:t>
            </w:r>
          </w:p>
        </w:tc>
      </w:tr>
      <w:tr w:rsidR="00713675">
        <w:tc>
          <w:tcPr>
            <w:tcW w:w="8522" w:type="dxa"/>
          </w:tcPr>
          <w:p w:rsidR="00713675" w:rsidRDefault="00713675" w:rsidP="00855C66">
            <w:pPr>
              <w:tabs>
                <w:tab w:val="left" w:pos="720"/>
                <w:tab w:val="left" w:pos="1440"/>
                <w:tab w:val="left" w:pos="2160"/>
                <w:tab w:val="left" w:pos="2880"/>
              </w:tabs>
            </w:pPr>
          </w:p>
          <w:p w:rsidR="00713675" w:rsidRDefault="00E55FA1" w:rsidP="00855C66">
            <w:pPr>
              <w:tabs>
                <w:tab w:val="left" w:pos="720"/>
                <w:tab w:val="left" w:pos="1440"/>
                <w:tab w:val="left" w:pos="2160"/>
                <w:tab w:val="left" w:pos="2880"/>
              </w:tabs>
            </w:pPr>
            <w:r>
              <w:t>Scott Warner</w:t>
            </w:r>
          </w:p>
        </w:tc>
      </w:tr>
      <w:tr w:rsidR="00713675">
        <w:tc>
          <w:tcPr>
            <w:tcW w:w="8522" w:type="dxa"/>
          </w:tcPr>
          <w:p w:rsidR="00713675" w:rsidRDefault="00E55FA1" w:rsidP="00855C66">
            <w:pPr>
              <w:tabs>
                <w:tab w:val="left" w:pos="720"/>
                <w:tab w:val="left" w:pos="1440"/>
                <w:tab w:val="left" w:pos="2160"/>
                <w:tab w:val="left" w:pos="2880"/>
              </w:tabs>
            </w:pPr>
            <w:r>
              <w:t>Investigations Manager</w:t>
            </w:r>
          </w:p>
        </w:tc>
      </w:tr>
      <w:tr w:rsidR="00713675">
        <w:tc>
          <w:tcPr>
            <w:tcW w:w="8522" w:type="dxa"/>
          </w:tcPr>
          <w:p w:rsidR="00713675" w:rsidRDefault="00E55FA1" w:rsidP="00E55FA1">
            <w:pPr>
              <w:tabs>
                <w:tab w:val="left" w:pos="720"/>
                <w:tab w:val="left" w:pos="1440"/>
                <w:tab w:val="left" w:pos="2160"/>
                <w:tab w:val="left" w:pos="2880"/>
              </w:tabs>
            </w:pPr>
            <w:r>
              <w:t>Finance</w:t>
            </w:r>
            <w:r w:rsidR="00713675">
              <w:t xml:space="preserve"> / </w:t>
            </w:r>
            <w:r>
              <w:t>Corporate Investigation Team</w:t>
            </w:r>
          </w:p>
        </w:tc>
      </w:tr>
      <w:tr w:rsidR="00713675">
        <w:tc>
          <w:tcPr>
            <w:tcW w:w="8522" w:type="dxa"/>
          </w:tcPr>
          <w:p w:rsidR="00713675" w:rsidRDefault="00713675" w:rsidP="00E55FA1">
            <w:pPr>
              <w:tabs>
                <w:tab w:val="left" w:pos="720"/>
                <w:tab w:val="left" w:pos="1440"/>
                <w:tab w:val="left" w:pos="2160"/>
                <w:tab w:val="left" w:pos="2880"/>
              </w:tabs>
              <w:rPr>
                <w:color w:val="0000FF"/>
                <w:u w:val="single"/>
              </w:rPr>
            </w:pPr>
            <w:r>
              <w:t xml:space="preserve">Tel:  01865 </w:t>
            </w:r>
            <w:r w:rsidR="00E55FA1">
              <w:t>252158</w:t>
            </w:r>
            <w:r>
              <w:t xml:space="preserve">  e-mail:  </w:t>
            </w:r>
            <w:r w:rsidR="00E55FA1">
              <w:t>swarner2@oxford.gov.uk</w:t>
            </w:r>
          </w:p>
        </w:tc>
      </w:tr>
    </w:tbl>
    <w:p w:rsidR="00F4367A" w:rsidRDefault="00F4367A" w:rsidP="00BF6592">
      <w:pPr>
        <w:rPr>
          <w:rFonts w:cs="Arial"/>
          <w:b/>
          <w:bCs/>
          <w:sz w:val="20"/>
        </w:rPr>
      </w:pPr>
    </w:p>
    <w:sectPr w:rsidR="00F4367A">
      <w:footerReference w:type="default" r:id="rId11"/>
      <w:pgSz w:w="11906" w:h="16838"/>
      <w:pgMar w:top="1440" w:right="1800" w:bottom="1440" w:left="1800" w:header="708" w:footer="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90" w:rsidRDefault="00BE3490">
      <w:r>
        <w:separator/>
      </w:r>
    </w:p>
  </w:endnote>
  <w:endnote w:type="continuationSeparator" w:id="0">
    <w:p w:rsidR="00BE3490" w:rsidRDefault="00BE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482027"/>
      <w:docPartObj>
        <w:docPartGallery w:val="Page Numbers (Bottom of Page)"/>
        <w:docPartUnique/>
      </w:docPartObj>
    </w:sdtPr>
    <w:sdtEndPr>
      <w:rPr>
        <w:noProof/>
      </w:rPr>
    </w:sdtEndPr>
    <w:sdtContent>
      <w:p w:rsidR="00036F46" w:rsidRDefault="00036F46">
        <w:pPr>
          <w:pStyle w:val="Footer"/>
          <w:jc w:val="right"/>
        </w:pPr>
        <w:r>
          <w:fldChar w:fldCharType="begin"/>
        </w:r>
        <w:r>
          <w:instrText xml:space="preserve"> PAGE   \* MERGEFORMAT </w:instrText>
        </w:r>
        <w:r>
          <w:fldChar w:fldCharType="separate"/>
        </w:r>
        <w:r w:rsidR="00302A89">
          <w:rPr>
            <w:noProof/>
          </w:rPr>
          <w:t>1</w:t>
        </w:r>
        <w:r>
          <w:rPr>
            <w:noProof/>
          </w:rPr>
          <w:fldChar w:fldCharType="end"/>
        </w:r>
      </w:p>
    </w:sdtContent>
  </w:sdt>
  <w:p w:rsidR="00036F46" w:rsidRDefault="00036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90" w:rsidRDefault="00BE3490">
      <w:r>
        <w:separator/>
      </w:r>
    </w:p>
  </w:footnote>
  <w:footnote w:type="continuationSeparator" w:id="0">
    <w:p w:rsidR="00BE3490" w:rsidRDefault="00BE3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4C2"/>
    <w:multiLevelType w:val="hybridMultilevel"/>
    <w:tmpl w:val="16E25C3A"/>
    <w:lvl w:ilvl="0" w:tplc="BB6A77C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6507CD3"/>
    <w:multiLevelType w:val="hybridMultilevel"/>
    <w:tmpl w:val="15EC5F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35582374"/>
    <w:multiLevelType w:val="hybridMultilevel"/>
    <w:tmpl w:val="C2FE1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6A2962"/>
    <w:multiLevelType w:val="hybridMultilevel"/>
    <w:tmpl w:val="9FA8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8B46EC"/>
    <w:multiLevelType w:val="hybridMultilevel"/>
    <w:tmpl w:val="42EA8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1E3DFE"/>
    <w:multiLevelType w:val="hybridMultilevel"/>
    <w:tmpl w:val="FB2A18C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4A52FF"/>
    <w:multiLevelType w:val="hybridMultilevel"/>
    <w:tmpl w:val="8B98F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500D39"/>
    <w:multiLevelType w:val="hybridMultilevel"/>
    <w:tmpl w:val="FB42D7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55392ABA"/>
    <w:multiLevelType w:val="hybridMultilevel"/>
    <w:tmpl w:val="B0AC44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FB659A6"/>
    <w:multiLevelType w:val="hybridMultilevel"/>
    <w:tmpl w:val="1ADCB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FB3C57"/>
    <w:multiLevelType w:val="hybridMultilevel"/>
    <w:tmpl w:val="CA0010A6"/>
    <w:lvl w:ilvl="0" w:tplc="65165CC6">
      <w:start w:val="1"/>
      <w:numFmt w:val="decimal"/>
      <w:lvlText w:val="%1."/>
      <w:lvlJc w:val="left"/>
      <w:pPr>
        <w:ind w:left="786"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724A529E"/>
    <w:multiLevelType w:val="hybridMultilevel"/>
    <w:tmpl w:val="93D02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A554A6"/>
    <w:multiLevelType w:val="hybridMultilevel"/>
    <w:tmpl w:val="6C6CF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7"/>
  </w:num>
  <w:num w:numId="5">
    <w:abstractNumId w:val="12"/>
  </w:num>
  <w:num w:numId="6">
    <w:abstractNumId w:val="11"/>
  </w:num>
  <w:num w:numId="7">
    <w:abstractNumId w:val="6"/>
  </w:num>
  <w:num w:numId="8">
    <w:abstractNumId w:val="4"/>
  </w:num>
  <w:num w:numId="9">
    <w:abstractNumId w:val="8"/>
  </w:num>
  <w:num w:numId="10">
    <w:abstractNumId w:val="3"/>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92"/>
    <w:rsid w:val="00016121"/>
    <w:rsid w:val="00036F46"/>
    <w:rsid w:val="00054FBB"/>
    <w:rsid w:val="00056263"/>
    <w:rsid w:val="00061BBD"/>
    <w:rsid w:val="00083DAF"/>
    <w:rsid w:val="000952CD"/>
    <w:rsid w:val="000C3928"/>
    <w:rsid w:val="000E3A8A"/>
    <w:rsid w:val="00115173"/>
    <w:rsid w:val="00123F3B"/>
    <w:rsid w:val="00140080"/>
    <w:rsid w:val="0017091A"/>
    <w:rsid w:val="00173F5F"/>
    <w:rsid w:val="001974C0"/>
    <w:rsid w:val="001B2B99"/>
    <w:rsid w:val="001E6847"/>
    <w:rsid w:val="00225E90"/>
    <w:rsid w:val="002513A0"/>
    <w:rsid w:val="002617EF"/>
    <w:rsid w:val="00274BC1"/>
    <w:rsid w:val="0027761A"/>
    <w:rsid w:val="00283DE0"/>
    <w:rsid w:val="002A48DC"/>
    <w:rsid w:val="002E0FC4"/>
    <w:rsid w:val="00302A89"/>
    <w:rsid w:val="00364C98"/>
    <w:rsid w:val="003D7522"/>
    <w:rsid w:val="0040038D"/>
    <w:rsid w:val="00410548"/>
    <w:rsid w:val="00447892"/>
    <w:rsid w:val="00465EAF"/>
    <w:rsid w:val="004870FB"/>
    <w:rsid w:val="00491015"/>
    <w:rsid w:val="00492497"/>
    <w:rsid w:val="00495B9F"/>
    <w:rsid w:val="004A414B"/>
    <w:rsid w:val="004B33E2"/>
    <w:rsid w:val="004C71E8"/>
    <w:rsid w:val="00514C63"/>
    <w:rsid w:val="00520D61"/>
    <w:rsid w:val="0052634D"/>
    <w:rsid w:val="005339D9"/>
    <w:rsid w:val="005512A2"/>
    <w:rsid w:val="0056670B"/>
    <w:rsid w:val="00573FF8"/>
    <w:rsid w:val="0058170A"/>
    <w:rsid w:val="005B678B"/>
    <w:rsid w:val="005C2014"/>
    <w:rsid w:val="005F7ECB"/>
    <w:rsid w:val="006109E8"/>
    <w:rsid w:val="00617287"/>
    <w:rsid w:val="00623C2F"/>
    <w:rsid w:val="00647D15"/>
    <w:rsid w:val="00654D52"/>
    <w:rsid w:val="006E3B55"/>
    <w:rsid w:val="006F416B"/>
    <w:rsid w:val="007116E7"/>
    <w:rsid w:val="00713675"/>
    <w:rsid w:val="00733FED"/>
    <w:rsid w:val="00744526"/>
    <w:rsid w:val="007665E5"/>
    <w:rsid w:val="007B6E54"/>
    <w:rsid w:val="007B7D9D"/>
    <w:rsid w:val="007D3155"/>
    <w:rsid w:val="007D5FAC"/>
    <w:rsid w:val="0080046D"/>
    <w:rsid w:val="0084231F"/>
    <w:rsid w:val="00855C66"/>
    <w:rsid w:val="008602E6"/>
    <w:rsid w:val="008D3DDB"/>
    <w:rsid w:val="008E422A"/>
    <w:rsid w:val="00933AA6"/>
    <w:rsid w:val="0093585C"/>
    <w:rsid w:val="00947567"/>
    <w:rsid w:val="00955477"/>
    <w:rsid w:val="00971689"/>
    <w:rsid w:val="00973E90"/>
    <w:rsid w:val="00992822"/>
    <w:rsid w:val="009A109A"/>
    <w:rsid w:val="00A1002B"/>
    <w:rsid w:val="00A26F27"/>
    <w:rsid w:val="00A35036"/>
    <w:rsid w:val="00A53031"/>
    <w:rsid w:val="00A63D9D"/>
    <w:rsid w:val="00A664AE"/>
    <w:rsid w:val="00A7547B"/>
    <w:rsid w:val="00A92D8F"/>
    <w:rsid w:val="00A977D4"/>
    <w:rsid w:val="00AA3834"/>
    <w:rsid w:val="00AC5264"/>
    <w:rsid w:val="00AD3292"/>
    <w:rsid w:val="00AE5AB8"/>
    <w:rsid w:val="00AF557C"/>
    <w:rsid w:val="00B47F0E"/>
    <w:rsid w:val="00B65FC8"/>
    <w:rsid w:val="00B66F39"/>
    <w:rsid w:val="00B72E63"/>
    <w:rsid w:val="00BC7BE2"/>
    <w:rsid w:val="00BE3490"/>
    <w:rsid w:val="00BE7F05"/>
    <w:rsid w:val="00BF6592"/>
    <w:rsid w:val="00C10750"/>
    <w:rsid w:val="00C116C5"/>
    <w:rsid w:val="00C129E2"/>
    <w:rsid w:val="00C17C81"/>
    <w:rsid w:val="00C2692F"/>
    <w:rsid w:val="00C334BE"/>
    <w:rsid w:val="00C3462F"/>
    <w:rsid w:val="00C3490B"/>
    <w:rsid w:val="00CC3662"/>
    <w:rsid w:val="00CC54B4"/>
    <w:rsid w:val="00CF5527"/>
    <w:rsid w:val="00D00019"/>
    <w:rsid w:val="00D0050D"/>
    <w:rsid w:val="00D122C6"/>
    <w:rsid w:val="00D14E57"/>
    <w:rsid w:val="00D171E2"/>
    <w:rsid w:val="00D52070"/>
    <w:rsid w:val="00D567E2"/>
    <w:rsid w:val="00D7284F"/>
    <w:rsid w:val="00DA1441"/>
    <w:rsid w:val="00DD3A1F"/>
    <w:rsid w:val="00DE5B61"/>
    <w:rsid w:val="00DF7B52"/>
    <w:rsid w:val="00E01F42"/>
    <w:rsid w:val="00E26E93"/>
    <w:rsid w:val="00E55FA1"/>
    <w:rsid w:val="00E67085"/>
    <w:rsid w:val="00E87C12"/>
    <w:rsid w:val="00EA0DB1"/>
    <w:rsid w:val="00EA2FDD"/>
    <w:rsid w:val="00EC5892"/>
    <w:rsid w:val="00EC6A09"/>
    <w:rsid w:val="00ED1932"/>
    <w:rsid w:val="00EE2E31"/>
    <w:rsid w:val="00EE6A04"/>
    <w:rsid w:val="00F4367A"/>
    <w:rsid w:val="00F64311"/>
    <w:rsid w:val="00F7606D"/>
    <w:rsid w:val="00FA624C"/>
    <w:rsid w:val="00FD34CA"/>
    <w:rsid w:val="00FE3DC7"/>
    <w:rsid w:val="00FE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PageNumber">
    <w:name w:val="page number"/>
    <w:basedOn w:val="DefaultParagraphFont"/>
  </w:style>
  <w:style w:type="character" w:styleId="Hyperlink">
    <w:name w:val="Hyperlink"/>
    <w:rsid w:val="00713675"/>
    <w:rPr>
      <w:color w:val="0000FF"/>
      <w:u w:val="single"/>
    </w:rPr>
  </w:style>
  <w:style w:type="paragraph" w:styleId="ListParagraph">
    <w:name w:val="List Paragraph"/>
    <w:basedOn w:val="Normal"/>
    <w:uiPriority w:val="34"/>
    <w:qFormat/>
    <w:rsid w:val="00DA1441"/>
    <w:pPr>
      <w:ind w:left="720"/>
      <w:contextualSpacing/>
    </w:pPr>
  </w:style>
  <w:style w:type="character" w:customStyle="1" w:styleId="FooterChar">
    <w:name w:val="Footer Char"/>
    <w:basedOn w:val="DefaultParagraphFont"/>
    <w:link w:val="Footer"/>
    <w:uiPriority w:val="99"/>
    <w:rsid w:val="00036F46"/>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PageNumber">
    <w:name w:val="page number"/>
    <w:basedOn w:val="DefaultParagraphFont"/>
  </w:style>
  <w:style w:type="character" w:styleId="Hyperlink">
    <w:name w:val="Hyperlink"/>
    <w:rsid w:val="00713675"/>
    <w:rPr>
      <w:color w:val="0000FF"/>
      <w:u w:val="single"/>
    </w:rPr>
  </w:style>
  <w:style w:type="paragraph" w:styleId="ListParagraph">
    <w:name w:val="List Paragraph"/>
    <w:basedOn w:val="Normal"/>
    <w:uiPriority w:val="34"/>
    <w:qFormat/>
    <w:rsid w:val="00DA1441"/>
    <w:pPr>
      <w:ind w:left="720"/>
      <w:contextualSpacing/>
    </w:pPr>
  </w:style>
  <w:style w:type="character" w:customStyle="1" w:styleId="FooterChar">
    <w:name w:val="Footer Char"/>
    <w:basedOn w:val="DefaultParagraphFont"/>
    <w:link w:val="Footer"/>
    <w:uiPriority w:val="99"/>
    <w:rsid w:val="00036F4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0D85-BF6A-4632-A5A6-379EF7FA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7FC6E5D1</Template>
  <TotalTime>6</TotalTime>
  <Pages>8</Pages>
  <Words>2052</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Scott.Warner</cp:lastModifiedBy>
  <cp:revision>5</cp:revision>
  <cp:lastPrinted>2010-10-15T09:32:00Z</cp:lastPrinted>
  <dcterms:created xsi:type="dcterms:W3CDTF">2015-04-15T11:25:00Z</dcterms:created>
  <dcterms:modified xsi:type="dcterms:W3CDTF">2015-04-15T11:31:00Z</dcterms:modified>
</cp:coreProperties>
</file>