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54F" w:rsidRPr="004D554F" w:rsidRDefault="004D554F" w:rsidP="004D554F">
      <w:pPr>
        <w:spacing w:after="0" w:line="240" w:lineRule="auto"/>
        <w:rPr>
          <w:rFonts w:eastAsia="Times New Roman" w:cs="Times New Roman"/>
          <w:noProof/>
          <w:sz w:val="20"/>
          <w:lang w:val="en-US" w:eastAsia="en-US"/>
        </w:rPr>
      </w:pPr>
      <w:r>
        <w:rPr>
          <w:rFonts w:eastAsia="Times New Roman" w:cs="Times New Roman"/>
          <w:noProof/>
          <w:sz w:val="20"/>
        </w:rPr>
        <mc:AlternateContent>
          <mc:Choice Requires="wps">
            <w:drawing>
              <wp:anchor distT="0" distB="0" distL="114300" distR="114300" simplePos="0" relativeHeight="251659264" behindDoc="0" locked="0" layoutInCell="1" allowOverlap="1">
                <wp:simplePos x="0" y="0"/>
                <wp:positionH relativeFrom="column">
                  <wp:posOffset>5029200</wp:posOffset>
                </wp:positionH>
                <wp:positionV relativeFrom="paragraph">
                  <wp:posOffset>-683895</wp:posOffset>
                </wp:positionV>
                <wp:extent cx="1143000" cy="148590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554F" w:rsidRDefault="004D554F" w:rsidP="004D554F">
                            <w:r>
                              <w:rPr>
                                <w:noProof/>
                              </w:rPr>
                              <w:drawing>
                                <wp:inline distT="0" distB="0" distL="0" distR="0" wp14:anchorId="60619F10" wp14:editId="1C20111D">
                                  <wp:extent cx="942975" cy="1257300"/>
                                  <wp:effectExtent l="0" t="0" r="9525" b="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257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pt;margin-top:-53.85pt;width:90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" stroked="f">
                <v:textbox>
                  <w:txbxContent>
                    <w:p w:rsidR="004D554F" w:rsidRDefault="004D554F" w:rsidP="004D554F">
                      <w:r>
                        <w:rPr>
                          <w:noProof/>
                        </w:rPr>
                        <w:drawing>
                          <wp:inline distT="0" distB="0" distL="0" distR="0" wp14:anchorId="60619F10" wp14:editId="1C20111D">
                            <wp:extent cx="942975" cy="1257300"/>
                            <wp:effectExtent l="0" t="0" r="9525" b="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257300"/>
                                    </a:xfrm>
                                    <a:prstGeom prst="rect">
                                      <a:avLst/>
                                    </a:prstGeom>
                                    <a:noFill/>
                                    <a:ln>
                                      <a:noFill/>
                                    </a:ln>
                                  </pic:spPr>
                                </pic:pic>
                              </a:graphicData>
                            </a:graphic>
                          </wp:inline>
                        </w:drawing>
                      </w:r>
                    </w:p>
                  </w:txbxContent>
                </v:textbox>
              </v:shape>
            </w:pict>
          </mc:Fallback>
        </mc:AlternateContent>
      </w:r>
    </w:p>
    <w:p w:rsidR="004D554F" w:rsidRPr="004D554F" w:rsidRDefault="004D554F" w:rsidP="004D554F">
      <w:pPr>
        <w:spacing w:after="0" w:line="240" w:lineRule="auto"/>
        <w:jc w:val="right"/>
        <w:rPr>
          <w:rFonts w:eastAsia="Times New Roman" w:cs="Times New Roman"/>
          <w:b/>
          <w:bCs/>
          <w:lang w:eastAsia="en-US"/>
        </w:rPr>
      </w:pPr>
    </w:p>
    <w:p w:rsidR="004D554F" w:rsidRPr="004D554F" w:rsidRDefault="004D554F" w:rsidP="004D554F">
      <w:pPr>
        <w:spacing w:after="0" w:line="240" w:lineRule="auto"/>
        <w:jc w:val="right"/>
        <w:rPr>
          <w:rFonts w:eastAsia="Times New Roman" w:cs="Times New Roman"/>
          <w:lang w:eastAsia="en-US"/>
        </w:rPr>
      </w:pPr>
    </w:p>
    <w:p w:rsidR="004D554F" w:rsidRPr="004D554F" w:rsidRDefault="004D554F" w:rsidP="004D554F">
      <w:pPr>
        <w:tabs>
          <w:tab w:val="left" w:pos="2160"/>
        </w:tabs>
        <w:spacing w:after="0" w:line="240" w:lineRule="auto"/>
        <w:rPr>
          <w:rFonts w:eastAsia="Times New Roman" w:cs="Times New Roman"/>
          <w:b/>
          <w:bCs/>
          <w:lang w:eastAsia="en-US"/>
        </w:rPr>
      </w:pPr>
    </w:p>
    <w:p w:rsidR="004D554F" w:rsidRPr="004D554F" w:rsidRDefault="004D554F" w:rsidP="004D554F">
      <w:pPr>
        <w:tabs>
          <w:tab w:val="left" w:pos="2160"/>
        </w:tabs>
        <w:spacing w:after="0" w:line="240" w:lineRule="auto"/>
        <w:rPr>
          <w:rFonts w:eastAsia="Times New Roman" w:cs="Times New Roman"/>
          <w:b/>
          <w:bCs/>
          <w:lang w:eastAsia="en-US"/>
        </w:rPr>
      </w:pPr>
      <w:r w:rsidRPr="004D554F">
        <w:rPr>
          <w:rFonts w:eastAsia="Times New Roman" w:cs="Times New Roman"/>
          <w:b/>
          <w:bCs/>
          <w:lang w:eastAsia="en-US"/>
        </w:rPr>
        <w:t xml:space="preserve">                                                                                    </w:t>
      </w:r>
    </w:p>
    <w:p w:rsidR="004D554F" w:rsidRPr="004D554F" w:rsidRDefault="004D554F" w:rsidP="004D554F">
      <w:pPr>
        <w:tabs>
          <w:tab w:val="left" w:pos="2160"/>
        </w:tabs>
        <w:spacing w:after="0" w:line="240" w:lineRule="auto"/>
        <w:rPr>
          <w:rFonts w:eastAsia="Times New Roman" w:cs="Times New Roman"/>
          <w:b/>
          <w:bCs/>
          <w:lang w:eastAsia="en-US"/>
        </w:rPr>
      </w:pPr>
      <w:r w:rsidRPr="004D554F">
        <w:rPr>
          <w:rFonts w:eastAsia="Times New Roman" w:cs="Times New Roman"/>
          <w:b/>
          <w:bCs/>
          <w:lang w:eastAsia="en-US"/>
        </w:rPr>
        <w:t xml:space="preserve">To: </w:t>
      </w:r>
      <w:r w:rsidRPr="004D554F">
        <w:rPr>
          <w:rFonts w:eastAsia="Times New Roman" w:cs="Times New Roman"/>
          <w:bCs/>
          <w:lang w:eastAsia="en-US"/>
        </w:rPr>
        <w:t>Scrutiny Committee</w:t>
      </w:r>
      <w:r w:rsidRPr="004D554F">
        <w:rPr>
          <w:rFonts w:eastAsia="Times New Roman" w:cs="Times New Roman"/>
          <w:bCs/>
          <w:lang w:eastAsia="en-US"/>
        </w:rPr>
        <w:tab/>
      </w:r>
      <w:r w:rsidRPr="004D554F">
        <w:rPr>
          <w:rFonts w:eastAsia="Times New Roman" w:cs="Times New Roman"/>
          <w:b/>
          <w:bCs/>
          <w:lang w:eastAsia="en-US"/>
        </w:rPr>
        <w:tab/>
      </w:r>
      <w:r w:rsidRPr="004D554F">
        <w:rPr>
          <w:rFonts w:eastAsia="Times New Roman" w:cs="Times New Roman"/>
          <w:b/>
          <w:bCs/>
          <w:lang w:eastAsia="en-US"/>
        </w:rPr>
        <w:tab/>
      </w:r>
    </w:p>
    <w:p w:rsidR="004D554F" w:rsidRPr="004D554F" w:rsidRDefault="004D554F" w:rsidP="004D554F">
      <w:pPr>
        <w:spacing w:after="0" w:line="240" w:lineRule="auto"/>
        <w:rPr>
          <w:rFonts w:eastAsia="Times New Roman" w:cs="Times New Roman"/>
          <w:b/>
          <w:bCs/>
          <w:lang w:eastAsia="en-US"/>
        </w:rPr>
      </w:pPr>
      <w:bookmarkStart w:id="0" w:name="_GoBack"/>
      <w:bookmarkEnd w:id="0"/>
    </w:p>
    <w:p w:rsidR="004D554F" w:rsidRPr="004D554F" w:rsidRDefault="004D554F" w:rsidP="004D554F">
      <w:pPr>
        <w:tabs>
          <w:tab w:val="left" w:pos="2160"/>
          <w:tab w:val="left" w:pos="6300"/>
          <w:tab w:val="left" w:pos="7380"/>
        </w:tabs>
        <w:spacing w:after="0" w:line="240" w:lineRule="auto"/>
        <w:rPr>
          <w:rFonts w:eastAsia="Times New Roman" w:cs="Times New Roman"/>
          <w:b/>
          <w:bCs/>
          <w:lang w:eastAsia="en-US"/>
        </w:rPr>
      </w:pPr>
      <w:r w:rsidRPr="004D554F">
        <w:rPr>
          <w:rFonts w:eastAsia="Times New Roman" w:cs="Times New Roman"/>
          <w:b/>
          <w:bCs/>
          <w:lang w:eastAsia="en-US"/>
        </w:rPr>
        <w:t xml:space="preserve">Date: </w:t>
      </w:r>
      <w:r w:rsidR="00A27DD6" w:rsidRPr="00A27DD6">
        <w:rPr>
          <w:rFonts w:eastAsia="Times New Roman" w:cs="Times New Roman"/>
          <w:bCs/>
          <w:lang w:eastAsia="en-US"/>
        </w:rPr>
        <w:t xml:space="preserve">2 </w:t>
      </w:r>
      <w:r>
        <w:rPr>
          <w:rFonts w:eastAsia="Times New Roman" w:cs="Times New Roman"/>
          <w:bCs/>
          <w:lang w:eastAsia="en-US"/>
        </w:rPr>
        <w:t>March 2015</w:t>
      </w:r>
      <w:r w:rsidRPr="004D554F">
        <w:rPr>
          <w:rFonts w:eastAsia="Times New Roman" w:cs="Times New Roman"/>
          <w:b/>
          <w:bCs/>
          <w:lang w:eastAsia="en-US"/>
        </w:rPr>
        <w:tab/>
        <w:t xml:space="preserve">       </w:t>
      </w:r>
    </w:p>
    <w:p w:rsidR="004D554F" w:rsidRPr="004D554F" w:rsidRDefault="004D554F" w:rsidP="004D554F">
      <w:pPr>
        <w:spacing w:after="0" w:line="240" w:lineRule="auto"/>
        <w:jc w:val="right"/>
        <w:rPr>
          <w:rFonts w:eastAsia="Times New Roman" w:cs="Times New Roman"/>
          <w:b/>
          <w:bCs/>
          <w:lang w:eastAsia="en-US"/>
        </w:rPr>
      </w:pPr>
    </w:p>
    <w:p w:rsidR="004D554F" w:rsidRPr="004D554F" w:rsidRDefault="00AC0DDD" w:rsidP="004D554F">
      <w:pPr>
        <w:spacing w:after="0" w:line="240" w:lineRule="auto"/>
        <w:rPr>
          <w:rFonts w:eastAsia="Times New Roman" w:cs="Times New Roman"/>
          <w:b/>
          <w:bCs/>
          <w:lang w:eastAsia="en-US"/>
        </w:rPr>
      </w:pPr>
      <w:r>
        <w:rPr>
          <w:rFonts w:eastAsia="Times New Roman" w:cs="Times New Roman"/>
          <w:b/>
          <w:bCs/>
          <w:lang w:eastAsia="en-US"/>
        </w:rPr>
        <w:t xml:space="preserve">Report of: </w:t>
      </w:r>
      <w:r w:rsidR="004D554F" w:rsidRPr="004D554F">
        <w:rPr>
          <w:rFonts w:eastAsia="Times New Roman" w:cs="Times New Roman"/>
          <w:bCs/>
          <w:lang w:eastAsia="en-US"/>
        </w:rPr>
        <w:t>Head of Customer Services</w:t>
      </w:r>
    </w:p>
    <w:p w:rsidR="004D554F" w:rsidRPr="004D554F" w:rsidRDefault="004D554F" w:rsidP="004D554F">
      <w:pPr>
        <w:tabs>
          <w:tab w:val="left" w:pos="2160"/>
        </w:tabs>
        <w:spacing w:after="0" w:line="240" w:lineRule="auto"/>
        <w:rPr>
          <w:rFonts w:eastAsia="Times New Roman" w:cs="Times New Roman"/>
          <w:b/>
          <w:bCs/>
          <w:lang w:eastAsia="en-US"/>
        </w:rPr>
      </w:pPr>
    </w:p>
    <w:p w:rsidR="004D554F" w:rsidRPr="004D554F" w:rsidRDefault="004D554F" w:rsidP="004D554F">
      <w:pPr>
        <w:tabs>
          <w:tab w:val="left" w:pos="2160"/>
        </w:tabs>
        <w:spacing w:after="0" w:line="240" w:lineRule="auto"/>
        <w:rPr>
          <w:rFonts w:eastAsia="Times New Roman" w:cs="Times New Roman"/>
          <w:b/>
          <w:bCs/>
          <w:lang w:eastAsia="en-US"/>
        </w:rPr>
      </w:pPr>
      <w:r w:rsidRPr="004D554F">
        <w:rPr>
          <w:rFonts w:eastAsia="Times New Roman" w:cs="Times New Roman"/>
          <w:b/>
          <w:bCs/>
          <w:lang w:eastAsia="en-US"/>
        </w:rPr>
        <w:t xml:space="preserve">Title of Report: </w:t>
      </w:r>
      <w:r w:rsidRPr="004D554F">
        <w:rPr>
          <w:rFonts w:eastAsia="Times New Roman" w:cs="Times New Roman"/>
          <w:bCs/>
          <w:lang w:eastAsia="en-US"/>
        </w:rPr>
        <w:t xml:space="preserve">A report on </w:t>
      </w:r>
      <w:r>
        <w:rPr>
          <w:rFonts w:eastAsia="Times New Roman" w:cs="Times New Roman"/>
          <w:bCs/>
          <w:lang w:eastAsia="en-US"/>
        </w:rPr>
        <w:t>research into the impact of Welfare Reforms in Oxford</w:t>
      </w:r>
      <w:r w:rsidRPr="004D554F">
        <w:rPr>
          <w:rFonts w:eastAsia="Times New Roman" w:cs="Times New Roman"/>
          <w:bCs/>
          <w:lang w:eastAsia="en-US"/>
        </w:rPr>
        <w:tab/>
      </w:r>
      <w:r w:rsidRPr="004D554F">
        <w:rPr>
          <w:rFonts w:eastAsia="Times New Roman" w:cs="Times New Roman"/>
          <w:b/>
          <w:bCs/>
          <w:lang w:eastAsia="en-US"/>
        </w:rPr>
        <w:tab/>
      </w:r>
    </w:p>
    <w:p w:rsidR="004D554F" w:rsidRPr="004D554F" w:rsidRDefault="004D554F" w:rsidP="004D554F">
      <w:pPr>
        <w:keepNext/>
        <w:spacing w:after="0" w:line="240" w:lineRule="auto"/>
        <w:jc w:val="center"/>
        <w:outlineLvl w:val="0"/>
        <w:rPr>
          <w:rFonts w:eastAsia="Times New Roman" w:cs="Times New Roman"/>
          <w:b/>
          <w:bCs/>
          <w:u w:val="single"/>
          <w:lang w:eastAsia="en-US"/>
        </w:rPr>
      </w:pPr>
    </w:p>
    <w:p w:rsidR="004D554F" w:rsidRPr="004D554F" w:rsidRDefault="004D554F" w:rsidP="004D554F">
      <w:pPr>
        <w:keepNext/>
        <w:pBdr>
          <w:top w:val="single" w:sz="4" w:space="1" w:color="auto"/>
          <w:left w:val="single" w:sz="4" w:space="4" w:color="auto"/>
          <w:bottom w:val="single" w:sz="4" w:space="1" w:color="auto"/>
          <w:right w:val="single" w:sz="4" w:space="4" w:color="auto"/>
        </w:pBdr>
        <w:spacing w:after="0" w:line="240" w:lineRule="auto"/>
        <w:jc w:val="center"/>
        <w:outlineLvl w:val="0"/>
        <w:rPr>
          <w:rFonts w:eastAsia="Times New Roman" w:cs="Times New Roman"/>
          <w:b/>
          <w:bCs/>
          <w:u w:val="single"/>
          <w:lang w:eastAsia="en-US"/>
        </w:rPr>
      </w:pPr>
    </w:p>
    <w:p w:rsidR="004D554F" w:rsidRPr="004D554F" w:rsidRDefault="004D554F" w:rsidP="004D554F">
      <w:pPr>
        <w:keepNext/>
        <w:pBdr>
          <w:top w:val="single" w:sz="4" w:space="1" w:color="auto"/>
          <w:left w:val="single" w:sz="4" w:space="4" w:color="auto"/>
          <w:bottom w:val="single" w:sz="4" w:space="1" w:color="auto"/>
          <w:right w:val="single" w:sz="4" w:space="4" w:color="auto"/>
        </w:pBdr>
        <w:spacing w:after="0" w:line="240" w:lineRule="auto"/>
        <w:jc w:val="center"/>
        <w:outlineLvl w:val="0"/>
        <w:rPr>
          <w:rFonts w:eastAsia="Times New Roman" w:cs="Times New Roman"/>
          <w:b/>
          <w:bCs/>
          <w:lang w:eastAsia="en-US"/>
        </w:rPr>
      </w:pPr>
      <w:r w:rsidRPr="004D554F">
        <w:rPr>
          <w:rFonts w:eastAsia="Times New Roman" w:cs="Times New Roman"/>
          <w:b/>
          <w:bCs/>
          <w:lang w:eastAsia="en-US"/>
        </w:rPr>
        <w:t>Summary and Recommendations</w:t>
      </w:r>
    </w:p>
    <w:p w:rsidR="004D554F" w:rsidRPr="004D554F" w:rsidRDefault="004D554F" w:rsidP="004D554F">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eastAsia="en-US"/>
        </w:rPr>
      </w:pPr>
    </w:p>
    <w:p w:rsidR="004D554F" w:rsidRPr="004D554F" w:rsidRDefault="004D554F" w:rsidP="004D554F">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eastAsia="en-US"/>
        </w:rPr>
      </w:pPr>
      <w:r w:rsidRPr="004D554F">
        <w:rPr>
          <w:rFonts w:eastAsia="Times New Roman" w:cs="Times New Roman"/>
          <w:b/>
          <w:bCs/>
          <w:lang w:eastAsia="en-US"/>
        </w:rPr>
        <w:t>Purpose of report</w:t>
      </w:r>
      <w:r w:rsidRPr="004D554F">
        <w:rPr>
          <w:rFonts w:eastAsia="Times New Roman" w:cs="Times New Roman"/>
          <w:lang w:eastAsia="en-US"/>
        </w:rPr>
        <w:t xml:space="preserve">:  To provide </w:t>
      </w:r>
      <w:r>
        <w:rPr>
          <w:rFonts w:eastAsia="Times New Roman" w:cs="Times New Roman"/>
          <w:lang w:eastAsia="en-US"/>
        </w:rPr>
        <w:t xml:space="preserve">a summary of the findings of research into the impact of Welfare Reform in Oxford, and </w:t>
      </w:r>
      <w:r w:rsidR="00BD002E">
        <w:rPr>
          <w:rFonts w:eastAsia="Times New Roman" w:cs="Times New Roman"/>
          <w:lang w:eastAsia="en-US"/>
        </w:rPr>
        <w:t>the Council’s Strategy for mitigating this.</w:t>
      </w:r>
      <w:r w:rsidRPr="004D554F">
        <w:rPr>
          <w:rFonts w:eastAsia="Times New Roman" w:cs="Times New Roman"/>
          <w:lang w:eastAsia="en-US"/>
        </w:rPr>
        <w:tab/>
      </w:r>
      <w:r w:rsidRPr="004D554F">
        <w:rPr>
          <w:rFonts w:eastAsia="Times New Roman" w:cs="Times New Roman"/>
          <w:lang w:eastAsia="en-US"/>
        </w:rPr>
        <w:tab/>
      </w:r>
      <w:r w:rsidRPr="004D554F">
        <w:rPr>
          <w:rFonts w:eastAsia="Times New Roman" w:cs="Times New Roman"/>
          <w:lang w:eastAsia="en-US"/>
        </w:rPr>
        <w:tab/>
      </w:r>
      <w:r w:rsidRPr="004D554F">
        <w:rPr>
          <w:rFonts w:eastAsia="Times New Roman" w:cs="Times New Roman"/>
          <w:lang w:eastAsia="en-US"/>
        </w:rPr>
        <w:tab/>
      </w:r>
      <w:r w:rsidRPr="004D554F">
        <w:rPr>
          <w:rFonts w:eastAsia="Times New Roman" w:cs="Times New Roman"/>
          <w:lang w:eastAsia="en-US"/>
        </w:rPr>
        <w:tab/>
      </w:r>
      <w:r w:rsidRPr="004D554F">
        <w:rPr>
          <w:rFonts w:eastAsia="Times New Roman" w:cs="Times New Roman"/>
          <w:lang w:eastAsia="en-US"/>
        </w:rPr>
        <w:tab/>
      </w:r>
    </w:p>
    <w:p w:rsidR="004D554F" w:rsidRPr="004D554F" w:rsidRDefault="004D554F" w:rsidP="004D554F">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bCs/>
          <w:lang w:eastAsia="en-US"/>
        </w:rPr>
      </w:pPr>
      <w:r w:rsidRPr="004D554F">
        <w:rPr>
          <w:rFonts w:eastAsia="Times New Roman" w:cs="Times New Roman"/>
          <w:b/>
          <w:bCs/>
          <w:lang w:eastAsia="en-US"/>
        </w:rPr>
        <w:t xml:space="preserve">Report Approved by: </w:t>
      </w:r>
    </w:p>
    <w:p w:rsidR="004D554F" w:rsidRPr="004D554F" w:rsidRDefault="004D554F" w:rsidP="004D554F">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bCs/>
          <w:lang w:eastAsia="en-US"/>
        </w:rPr>
      </w:pPr>
    </w:p>
    <w:p w:rsidR="004D554F" w:rsidRPr="004D554F" w:rsidRDefault="004D554F" w:rsidP="004D554F">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bCs/>
          <w:lang w:eastAsia="en-US"/>
        </w:rPr>
      </w:pPr>
      <w:r w:rsidRPr="004D554F">
        <w:rPr>
          <w:rFonts w:eastAsia="Times New Roman" w:cs="Times New Roman"/>
          <w:b/>
          <w:bCs/>
          <w:lang w:eastAsia="en-US"/>
        </w:rPr>
        <w:t>Finance:</w:t>
      </w:r>
    </w:p>
    <w:p w:rsidR="004D554F" w:rsidRPr="004D554F" w:rsidRDefault="004D554F" w:rsidP="004D554F">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bCs/>
          <w:lang w:eastAsia="en-US"/>
        </w:rPr>
      </w:pPr>
      <w:r w:rsidRPr="004D554F">
        <w:rPr>
          <w:rFonts w:eastAsia="Times New Roman" w:cs="Times New Roman"/>
          <w:b/>
          <w:bCs/>
          <w:lang w:eastAsia="en-US"/>
        </w:rPr>
        <w:t>Legal:</w:t>
      </w:r>
    </w:p>
    <w:p w:rsidR="004D554F" w:rsidRPr="004D554F" w:rsidRDefault="004D554F" w:rsidP="004D554F">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cs="Times New Roman"/>
          <w:b/>
          <w:bCs/>
          <w:lang w:eastAsia="en-US"/>
        </w:rPr>
      </w:pPr>
    </w:p>
    <w:p w:rsidR="004D554F" w:rsidRPr="004D554F" w:rsidRDefault="004D554F" w:rsidP="004D554F">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bCs/>
          <w:lang w:eastAsia="en-US"/>
        </w:rPr>
      </w:pPr>
      <w:r w:rsidRPr="004D554F">
        <w:rPr>
          <w:rFonts w:eastAsia="Times New Roman" w:cs="Times New Roman"/>
          <w:b/>
          <w:bCs/>
          <w:lang w:eastAsia="en-US"/>
        </w:rPr>
        <w:t xml:space="preserve">Policy Framework: </w:t>
      </w:r>
      <w:r w:rsidRPr="004D554F">
        <w:rPr>
          <w:rFonts w:eastAsia="Times New Roman" w:cs="Times New Roman"/>
          <w:bCs/>
          <w:lang w:eastAsia="en-US"/>
        </w:rPr>
        <w:t>Efficient, Effective Council</w:t>
      </w:r>
    </w:p>
    <w:p w:rsidR="004D554F" w:rsidRPr="004D554F" w:rsidRDefault="004D554F" w:rsidP="004D554F">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cs="Times New Roman"/>
          <w:b/>
          <w:bCs/>
          <w:lang w:eastAsia="en-US"/>
        </w:rPr>
      </w:pPr>
    </w:p>
    <w:p w:rsidR="004D554F" w:rsidRDefault="004D554F" w:rsidP="004D554F">
      <w:pPr>
        <w:pBdr>
          <w:top w:val="single" w:sz="4" w:space="1" w:color="auto"/>
          <w:left w:val="single" w:sz="4" w:space="4" w:color="auto"/>
          <w:bottom w:val="single" w:sz="4" w:space="1" w:color="auto"/>
          <w:right w:val="single" w:sz="4" w:space="4" w:color="auto"/>
        </w:pBdr>
        <w:tabs>
          <w:tab w:val="left" w:pos="3048"/>
        </w:tabs>
        <w:spacing w:after="0" w:line="240" w:lineRule="auto"/>
        <w:rPr>
          <w:rFonts w:eastAsia="Times New Roman" w:cs="Times New Roman"/>
          <w:lang w:eastAsia="en-US"/>
        </w:rPr>
      </w:pPr>
      <w:r w:rsidRPr="004D554F">
        <w:rPr>
          <w:rFonts w:eastAsia="Times New Roman" w:cs="Times New Roman"/>
          <w:b/>
          <w:lang w:eastAsia="en-US"/>
        </w:rPr>
        <w:t xml:space="preserve">Recommendation(s): </w:t>
      </w:r>
      <w:r w:rsidRPr="004D554F">
        <w:rPr>
          <w:rFonts w:eastAsia="Times New Roman" w:cs="Times New Roman"/>
          <w:lang w:eastAsia="en-US"/>
        </w:rPr>
        <w:t xml:space="preserve">To note the </w:t>
      </w:r>
      <w:r w:rsidR="00070747">
        <w:rPr>
          <w:rFonts w:eastAsia="Times New Roman" w:cs="Times New Roman"/>
          <w:lang w:eastAsia="en-US"/>
        </w:rPr>
        <w:t>agreed action plan</w:t>
      </w:r>
    </w:p>
    <w:p w:rsidR="00AC0DDD" w:rsidRPr="004D554F" w:rsidRDefault="00AC0DDD" w:rsidP="004D554F">
      <w:pPr>
        <w:pBdr>
          <w:top w:val="single" w:sz="4" w:space="1" w:color="auto"/>
          <w:left w:val="single" w:sz="4" w:space="4" w:color="auto"/>
          <w:bottom w:val="single" w:sz="4" w:space="1" w:color="auto"/>
          <w:right w:val="single" w:sz="4" w:space="4" w:color="auto"/>
        </w:pBdr>
        <w:tabs>
          <w:tab w:val="left" w:pos="3048"/>
        </w:tabs>
        <w:spacing w:after="0" w:line="240" w:lineRule="auto"/>
        <w:rPr>
          <w:rFonts w:eastAsia="Times New Roman" w:cs="Times New Roman"/>
          <w:b/>
          <w:lang w:eastAsia="en-US"/>
        </w:rPr>
      </w:pPr>
    </w:p>
    <w:p w:rsidR="004D554F" w:rsidRPr="004D554F" w:rsidRDefault="004D554F" w:rsidP="004D554F">
      <w:pPr>
        <w:spacing w:after="0" w:line="240" w:lineRule="auto"/>
        <w:rPr>
          <w:rFonts w:eastAsia="Times New Roman" w:cs="Times New Roman"/>
          <w:lang w:eastAsia="en-US"/>
        </w:rPr>
      </w:pPr>
    </w:p>
    <w:p w:rsidR="004D554F" w:rsidRPr="004D554F" w:rsidRDefault="004D554F" w:rsidP="004D554F">
      <w:pPr>
        <w:spacing w:after="0" w:line="240" w:lineRule="auto"/>
        <w:rPr>
          <w:rFonts w:eastAsia="Times New Roman" w:cs="Times New Roman"/>
          <w:b/>
          <w:lang w:eastAsia="en-US"/>
        </w:rPr>
      </w:pPr>
      <w:r w:rsidRPr="004D554F">
        <w:rPr>
          <w:rFonts w:eastAsia="Times New Roman" w:cs="Times New Roman"/>
          <w:b/>
          <w:lang w:eastAsia="en-US"/>
        </w:rPr>
        <w:t>APPENDICES:</w:t>
      </w:r>
    </w:p>
    <w:p w:rsidR="004D554F" w:rsidRPr="004D554F" w:rsidRDefault="004D554F" w:rsidP="004D554F">
      <w:pPr>
        <w:spacing w:after="0" w:line="240" w:lineRule="auto"/>
        <w:rPr>
          <w:rFonts w:eastAsia="Times New Roman" w:cs="Times New Roman"/>
          <w:lang w:eastAsia="en-US"/>
        </w:rPr>
      </w:pPr>
      <w:r w:rsidRPr="004D554F">
        <w:rPr>
          <w:rFonts w:eastAsia="Times New Roman" w:cs="Times New Roman"/>
          <w:lang w:eastAsia="en-US"/>
        </w:rPr>
        <w:t xml:space="preserve">Appendix 1 – </w:t>
      </w:r>
      <w:r w:rsidR="005D19EB">
        <w:rPr>
          <w:rFonts w:eastAsia="Times New Roman" w:cs="Times New Roman"/>
          <w:lang w:eastAsia="en-US"/>
        </w:rPr>
        <w:t>Welfare Reform Research Action Plan</w:t>
      </w:r>
    </w:p>
    <w:p w:rsidR="004D554F" w:rsidRPr="004D554F" w:rsidRDefault="004D554F" w:rsidP="004D554F">
      <w:pPr>
        <w:spacing w:after="0" w:line="240" w:lineRule="auto"/>
        <w:rPr>
          <w:rFonts w:eastAsia="Times New Roman" w:cs="Times New Roman"/>
          <w:lang w:eastAsia="en-US"/>
        </w:rPr>
      </w:pPr>
    </w:p>
    <w:p w:rsidR="004D554F" w:rsidRDefault="004D554F" w:rsidP="00CD3466">
      <w:pPr>
        <w:spacing w:after="0" w:line="240" w:lineRule="auto"/>
        <w:rPr>
          <w:rFonts w:eastAsia="Times New Roman" w:cs="Times New Roman"/>
          <w:b/>
          <w:lang w:eastAsia="en-US"/>
        </w:rPr>
      </w:pPr>
      <w:r w:rsidRPr="004D554F">
        <w:rPr>
          <w:rFonts w:eastAsia="Times New Roman" w:cs="Times New Roman"/>
          <w:b/>
          <w:lang w:eastAsia="en-US"/>
        </w:rPr>
        <w:t>INTRODUCTION</w:t>
      </w:r>
    </w:p>
    <w:p w:rsidR="00CD3466" w:rsidRDefault="00CD3466" w:rsidP="00CD3466">
      <w:pPr>
        <w:spacing w:after="0" w:line="240" w:lineRule="auto"/>
      </w:pPr>
    </w:p>
    <w:p w:rsidR="00183925" w:rsidRDefault="00183925" w:rsidP="00CD3466">
      <w:pPr>
        <w:pStyle w:val="NoSpacing"/>
        <w:numPr>
          <w:ilvl w:val="0"/>
          <w:numId w:val="2"/>
        </w:numPr>
      </w:pPr>
      <w:r>
        <w:t xml:space="preserve">In 2014, Customer Services commissioned a report into the impact of welfare reform in Oxford. Since 2010, many changes have been made to the benefits system, and the cumulative impact was not understood. </w:t>
      </w:r>
      <w:r w:rsidR="00E75AB4">
        <w:t>The research was undertaken in order to inform our policy response, and to help us understand the likely demand for support from the Council in the future.</w:t>
      </w:r>
      <w:r w:rsidR="007D57E4">
        <w:t xml:space="preserve"> The </w:t>
      </w:r>
      <w:r w:rsidR="00037F7B">
        <w:t xml:space="preserve">work was tendered and the contract subsequently awarded to the </w:t>
      </w:r>
      <w:r w:rsidR="007D57E4">
        <w:t>Centre for Economic and Social Inclusion (CESI).</w:t>
      </w:r>
    </w:p>
    <w:p w:rsidR="00CD3466" w:rsidRDefault="00CD3466" w:rsidP="00CD3466">
      <w:pPr>
        <w:pStyle w:val="NoSpacing"/>
      </w:pPr>
    </w:p>
    <w:p w:rsidR="00CD3466" w:rsidRDefault="00F66B17" w:rsidP="00CD3466">
      <w:pPr>
        <w:pStyle w:val="NoSpacing"/>
        <w:numPr>
          <w:ilvl w:val="0"/>
          <w:numId w:val="2"/>
        </w:numPr>
      </w:pPr>
      <w:r>
        <w:t xml:space="preserve">CESI have estimated that households claiming benefit in Oxford will be £1,594 worse off this year, than </w:t>
      </w:r>
      <w:r w:rsidR="00CF118A">
        <w:t xml:space="preserve">prior to </w:t>
      </w:r>
      <w:r>
        <w:t xml:space="preserve">the </w:t>
      </w:r>
      <w:r w:rsidR="00CF118A">
        <w:t xml:space="preserve">benefit </w:t>
      </w:r>
      <w:r>
        <w:t>reforms. The majority of this impact (nearly 75%) is as a result of changes to Tax Credits, restricting increases in benefits to 1%, and the changes to Local Housing Allowance (which is the Housing support paid to private sector tenants).</w:t>
      </w:r>
      <w:r w:rsidR="007D57E4">
        <w:t xml:space="preserve"> The research identified two key groups of people adversely impacted by reforms</w:t>
      </w:r>
      <w:r w:rsidR="00CF118A">
        <w:t>:</w:t>
      </w:r>
      <w:r w:rsidR="007D57E4">
        <w:t xml:space="preserve"> lone parents and disabled people.</w:t>
      </w:r>
    </w:p>
    <w:p w:rsidR="00EF05FC" w:rsidRDefault="007D57E4" w:rsidP="00CD3466">
      <w:pPr>
        <w:pStyle w:val="NoSpacing"/>
        <w:numPr>
          <w:ilvl w:val="0"/>
          <w:numId w:val="2"/>
        </w:numPr>
      </w:pPr>
      <w:r>
        <w:lastRenderedPageBreak/>
        <w:t>A qualitative approach was taken to th</w:t>
      </w:r>
      <w:r w:rsidR="003D1C47">
        <w:t>e</w:t>
      </w:r>
      <w:r>
        <w:t xml:space="preserve"> research</w:t>
      </w:r>
      <w:r w:rsidR="003D1C47">
        <w:t xml:space="preserve">, </w:t>
      </w:r>
      <w:r w:rsidR="00A44D1D">
        <w:t xml:space="preserve">which </w:t>
      </w:r>
      <w:r w:rsidR="003D1C47">
        <w:t>includ</w:t>
      </w:r>
      <w:r w:rsidR="00A44D1D">
        <w:t>ed</w:t>
      </w:r>
      <w:r w:rsidR="003D1C47">
        <w:t xml:space="preserve"> f</w:t>
      </w:r>
      <w:r>
        <w:t xml:space="preserve">orty </w:t>
      </w:r>
      <w:proofErr w:type="gramStart"/>
      <w:r>
        <w:t>representative</w:t>
      </w:r>
      <w:proofErr w:type="gramEnd"/>
      <w:r>
        <w:t>, in-depth</w:t>
      </w:r>
      <w:r w:rsidRPr="007D57E4">
        <w:t xml:space="preserve"> face-to-face interviews and three focus groups </w:t>
      </w:r>
      <w:r>
        <w:t>with Oxford residents. Th</w:t>
      </w:r>
      <w:r w:rsidR="00EB257A">
        <w:t>ese</w:t>
      </w:r>
      <w:r>
        <w:t xml:space="preserve"> w</w:t>
      </w:r>
      <w:r w:rsidR="00EB257A">
        <w:t>ere</w:t>
      </w:r>
      <w:r>
        <w:t xml:space="preserve"> supported by interviews with support organisations in the City.</w:t>
      </w:r>
      <w:r w:rsidR="00EF05FC">
        <w:t xml:space="preserve"> This approach </w:t>
      </w:r>
      <w:r w:rsidR="00A44D1D">
        <w:t xml:space="preserve">has </w:t>
      </w:r>
      <w:r w:rsidR="00EF05FC">
        <w:t>provide</w:t>
      </w:r>
      <w:r w:rsidR="00A44D1D">
        <w:t>d</w:t>
      </w:r>
      <w:r w:rsidR="00EF05FC">
        <w:t xml:space="preserve"> more depth and detail than </w:t>
      </w:r>
      <w:r w:rsidR="00A44D1D">
        <w:t>pure</w:t>
      </w:r>
      <w:r w:rsidR="007947AC">
        <w:t xml:space="preserve"> </w:t>
      </w:r>
      <w:proofErr w:type="spellStart"/>
      <w:r w:rsidR="00EF05FC">
        <w:t>quantative</w:t>
      </w:r>
      <w:proofErr w:type="spellEnd"/>
      <w:r w:rsidR="00EF05FC">
        <w:t xml:space="preserve"> analysis, as it records attitudes, feelings and behaviours, not just numbers.</w:t>
      </w:r>
    </w:p>
    <w:p w:rsidR="00CD3466" w:rsidRDefault="00CD3466" w:rsidP="00CD3466">
      <w:pPr>
        <w:pStyle w:val="NoSpacing"/>
      </w:pPr>
    </w:p>
    <w:p w:rsidR="00CD3466" w:rsidRDefault="007947AC" w:rsidP="00CD3466">
      <w:pPr>
        <w:pStyle w:val="NoSpacing"/>
        <w:numPr>
          <w:ilvl w:val="0"/>
          <w:numId w:val="2"/>
        </w:numPr>
      </w:pPr>
      <w:r>
        <w:t>A</w:t>
      </w:r>
      <w:r w:rsidR="00EF05FC">
        <w:t xml:space="preserve"> workshop </w:t>
      </w:r>
      <w:r>
        <w:t xml:space="preserve">was used </w:t>
      </w:r>
      <w:r w:rsidR="00EF05FC">
        <w:t xml:space="preserve">to consider </w:t>
      </w:r>
      <w:r w:rsidR="00077933">
        <w:t>the initial findings and</w:t>
      </w:r>
      <w:r w:rsidR="00EF05FC">
        <w:t xml:space="preserve"> the Council</w:t>
      </w:r>
      <w:r w:rsidR="00077933">
        <w:t>’s response</w:t>
      </w:r>
      <w:r w:rsidR="00EF05FC">
        <w:t>. Th</w:t>
      </w:r>
      <w:r w:rsidR="00077933">
        <w:t>e</w:t>
      </w:r>
      <w:r w:rsidR="00EF05FC">
        <w:t xml:space="preserve"> workshop was attended by a wide range of Council</w:t>
      </w:r>
      <w:r w:rsidR="00077933">
        <w:t xml:space="preserve"> staff as well as</w:t>
      </w:r>
      <w:r w:rsidR="00EF05FC">
        <w:t xml:space="preserve"> partner organisations</w:t>
      </w:r>
      <w:r w:rsidR="00144118">
        <w:t xml:space="preserve"> and</w:t>
      </w:r>
      <w:r w:rsidR="00EF05FC">
        <w:t xml:space="preserve"> used to inform the recommendations in the final report. These recommendations have been </w:t>
      </w:r>
      <w:r w:rsidR="00144118">
        <w:t xml:space="preserve">incorporated into </w:t>
      </w:r>
      <w:r w:rsidR="00EF05FC">
        <w:t>the Financial Inclusion Strategy</w:t>
      </w:r>
      <w:r w:rsidR="00144118">
        <w:t xml:space="preserve"> action plan</w:t>
      </w:r>
      <w:r w:rsidR="00EF05FC">
        <w:t>.</w:t>
      </w:r>
    </w:p>
    <w:p w:rsidR="00CD3466" w:rsidRDefault="00CD3466" w:rsidP="00CD3466">
      <w:pPr>
        <w:pStyle w:val="NoSpacing"/>
      </w:pPr>
    </w:p>
    <w:p w:rsidR="00BB4C5D" w:rsidRDefault="00BB4C5D" w:rsidP="00CD3466">
      <w:pPr>
        <w:pStyle w:val="NoSpacing"/>
        <w:numPr>
          <w:ilvl w:val="0"/>
          <w:numId w:val="2"/>
        </w:numPr>
      </w:pPr>
      <w:r>
        <w:t xml:space="preserve">A common response from people interviewed was to say they were skipping meals and not heating the house to reduce their outgoings.  Many of those who had children reported that they were eating less in order to ensure that their children were able to eat regularly.   </w:t>
      </w:r>
    </w:p>
    <w:p w:rsidR="00CD3466" w:rsidRDefault="00CD3466" w:rsidP="00CD3466">
      <w:pPr>
        <w:pStyle w:val="NoSpacing"/>
      </w:pPr>
    </w:p>
    <w:p w:rsidR="00EF05FC" w:rsidRDefault="00BB4C5D" w:rsidP="00CD3466">
      <w:pPr>
        <w:pStyle w:val="NoSpacing"/>
        <w:numPr>
          <w:ilvl w:val="0"/>
          <w:numId w:val="2"/>
        </w:numPr>
      </w:pPr>
      <w:r>
        <w:t xml:space="preserve">Overall, </w:t>
      </w:r>
      <w:r w:rsidR="009D3B37">
        <w:t xml:space="preserve">the </w:t>
      </w:r>
      <w:r>
        <w:t>welfare reform</w:t>
      </w:r>
      <w:r w:rsidR="009D3B37">
        <w:t>s</w:t>
      </w:r>
      <w:r>
        <w:t xml:space="preserve"> h</w:t>
      </w:r>
      <w:r w:rsidR="009D3B37">
        <w:t>ave</w:t>
      </w:r>
      <w:r>
        <w:t xml:space="preserve"> led to a reduction in the quality of life of residents interviewed. The changes have </w:t>
      </w:r>
      <w:r w:rsidR="009D3B37">
        <w:t>increased</w:t>
      </w:r>
      <w:r>
        <w:t xml:space="preserve"> stress and anxiety </w:t>
      </w:r>
      <w:r w:rsidR="009D3B37">
        <w:t>levels and f</w:t>
      </w:r>
      <w:r>
        <w:t xml:space="preserve">or many, this has had a knock-on effect on their health – particularly for those who </w:t>
      </w:r>
      <w:r w:rsidR="009D3B37">
        <w:t xml:space="preserve">had pre-existing </w:t>
      </w:r>
      <w:r>
        <w:t xml:space="preserve">conditions. </w:t>
      </w:r>
    </w:p>
    <w:p w:rsidR="00CD3466" w:rsidRDefault="00CD3466" w:rsidP="00CD3466">
      <w:pPr>
        <w:pStyle w:val="NoSpacing"/>
      </w:pPr>
    </w:p>
    <w:p w:rsidR="00BB4C5D" w:rsidRDefault="00BB4C5D" w:rsidP="00CD3466">
      <w:pPr>
        <w:pStyle w:val="NoSpacing"/>
        <w:numPr>
          <w:ilvl w:val="0"/>
          <w:numId w:val="2"/>
        </w:numPr>
      </w:pPr>
      <w:r>
        <w:t>Interviews with support a</w:t>
      </w:r>
      <w:r w:rsidRPr="00BB4C5D">
        <w:t xml:space="preserve">gencies </w:t>
      </w:r>
      <w:r w:rsidR="00EB7F34">
        <w:t>identified</w:t>
      </w:r>
      <w:r>
        <w:t xml:space="preserve"> an increase in</w:t>
      </w:r>
      <w:r w:rsidRPr="00BB4C5D">
        <w:t xml:space="preserve"> disabled </w:t>
      </w:r>
      <w:r w:rsidR="00EB7F34">
        <w:t>people and those with</w:t>
      </w:r>
      <w:r w:rsidRPr="00BB4C5D">
        <w:t xml:space="preserve"> health conditions </w:t>
      </w:r>
      <w:r w:rsidR="00EB7F34">
        <w:t xml:space="preserve">seeking support </w:t>
      </w:r>
      <w:r w:rsidRPr="00BB4C5D">
        <w:t xml:space="preserve">– particularly </w:t>
      </w:r>
      <w:r w:rsidR="00666CB3">
        <w:t xml:space="preserve">in relation to </w:t>
      </w:r>
      <w:r w:rsidRPr="00BB4C5D">
        <w:t>applications for E</w:t>
      </w:r>
      <w:r>
        <w:t xml:space="preserve">mployment &amp; </w:t>
      </w:r>
      <w:r w:rsidRPr="00BB4C5D">
        <w:t>S</w:t>
      </w:r>
      <w:r>
        <w:t xml:space="preserve">upport </w:t>
      </w:r>
      <w:r w:rsidRPr="00BB4C5D">
        <w:t>A</w:t>
      </w:r>
      <w:r>
        <w:t>llowance (ESA)</w:t>
      </w:r>
      <w:r w:rsidRPr="00BB4C5D">
        <w:t xml:space="preserve"> – and support f</w:t>
      </w:r>
      <w:r w:rsidR="00666CB3">
        <w:t>or</w:t>
      </w:r>
      <w:r w:rsidRPr="00BB4C5D">
        <w:t xml:space="preserve"> social </w:t>
      </w:r>
      <w:r w:rsidR="00666CB3">
        <w:t>housing</w:t>
      </w:r>
      <w:r w:rsidRPr="00BB4C5D">
        <w:t xml:space="preserve">. </w:t>
      </w:r>
      <w:r w:rsidR="00666CB3">
        <w:t xml:space="preserve">The </w:t>
      </w:r>
      <w:proofErr w:type="gramStart"/>
      <w:r w:rsidR="00666CB3">
        <w:t xml:space="preserve">agencies </w:t>
      </w:r>
      <w:r w:rsidRPr="00BB4C5D">
        <w:t xml:space="preserve"> also</w:t>
      </w:r>
      <w:proofErr w:type="gramEnd"/>
      <w:r w:rsidRPr="00BB4C5D">
        <w:t xml:space="preserve"> reported that more people seeking support had anxiety, depression and other common mental health problems.</w:t>
      </w:r>
    </w:p>
    <w:p w:rsidR="007D57E4" w:rsidRDefault="007D57E4" w:rsidP="00CD3466">
      <w:pPr>
        <w:pStyle w:val="NoSpacing"/>
      </w:pPr>
    </w:p>
    <w:p w:rsidR="00BB4C5D" w:rsidRDefault="00BB4C5D" w:rsidP="00CD3466">
      <w:pPr>
        <w:pStyle w:val="NoSpacing"/>
        <w:numPr>
          <w:ilvl w:val="0"/>
          <w:numId w:val="2"/>
        </w:numPr>
      </w:pPr>
      <w:r>
        <w:t>A number of factors were identified which affected people’s abilities to cope with the reforms. The rising costs of living, the availability of social networks, language</w:t>
      </w:r>
      <w:r w:rsidR="00280DDA">
        <w:t xml:space="preserve"> barriers</w:t>
      </w:r>
      <w:r>
        <w:t xml:space="preserve">, and dependencies on alcohol or drugs were all </w:t>
      </w:r>
      <w:r w:rsidR="00014C23">
        <w:t>sited as having a</w:t>
      </w:r>
      <w:r>
        <w:t xml:space="preserve"> bearing on people’s ability to cope.</w:t>
      </w:r>
      <w:r w:rsidR="00CD3466">
        <w:t xml:space="preserve"> </w:t>
      </w:r>
      <w:r>
        <w:t>The main way respondents were coping with reforms was by economising, borrowing money from family and friends, and by claiming Discretionary Housing Payments.</w:t>
      </w:r>
    </w:p>
    <w:p w:rsidR="00CD3466" w:rsidRDefault="00CD3466" w:rsidP="00CD3466">
      <w:pPr>
        <w:pStyle w:val="NoSpacing"/>
      </w:pPr>
    </w:p>
    <w:p w:rsidR="00EA1DC6" w:rsidRDefault="00CE2CD0" w:rsidP="00CD3466">
      <w:pPr>
        <w:pStyle w:val="NoSpacing"/>
        <w:numPr>
          <w:ilvl w:val="0"/>
          <w:numId w:val="2"/>
        </w:numPr>
      </w:pPr>
      <w:r>
        <w:t>The research suggested people affected by the welfare reforms had three main support needs</w:t>
      </w:r>
      <w:r w:rsidR="00014C23">
        <w:t>:</w:t>
      </w:r>
      <w:r w:rsidR="00EA1DC6">
        <w:t xml:space="preserve"> </w:t>
      </w:r>
      <w:r>
        <w:t>financial support, housing support</w:t>
      </w:r>
      <w:r w:rsidR="00014C23">
        <w:t xml:space="preserve"> and</w:t>
      </w:r>
      <w:r>
        <w:t xml:space="preserve"> employment support</w:t>
      </w:r>
      <w:r w:rsidR="00F46A3D">
        <w:t>.  The</w:t>
      </w:r>
      <w:r w:rsidR="005D19EB">
        <w:t>y</w:t>
      </w:r>
      <w:r w:rsidR="00F46A3D">
        <w:t xml:space="preserve"> also required </w:t>
      </w:r>
      <w:r w:rsidR="00EA1DC6">
        <w:t>help in navigating the system.</w:t>
      </w:r>
      <w:r w:rsidR="00CD3466">
        <w:t xml:space="preserve"> </w:t>
      </w:r>
      <w:r w:rsidR="00EA1DC6">
        <w:t xml:space="preserve">These findings have informed the </w:t>
      </w:r>
      <w:r w:rsidR="00F46A3D">
        <w:t xml:space="preserve">Council’s </w:t>
      </w:r>
      <w:r w:rsidR="00EA1DC6">
        <w:t xml:space="preserve">Financial Inclusion </w:t>
      </w:r>
      <w:r w:rsidR="00F46A3D">
        <w:t xml:space="preserve">Strategy and </w:t>
      </w:r>
      <w:r w:rsidR="00EA1DC6">
        <w:t>Action Plan.</w:t>
      </w:r>
    </w:p>
    <w:p w:rsidR="00CD3466" w:rsidRDefault="00CD3466" w:rsidP="00CD3466">
      <w:pPr>
        <w:pStyle w:val="NoSpacing"/>
      </w:pPr>
    </w:p>
    <w:p w:rsidR="00070747" w:rsidRPr="00070747" w:rsidRDefault="00070747" w:rsidP="00070747">
      <w:pPr>
        <w:pStyle w:val="NoSpacing"/>
        <w:rPr>
          <w:b/>
        </w:rPr>
      </w:pPr>
      <w:r w:rsidRPr="00070747">
        <w:rPr>
          <w:b/>
        </w:rPr>
        <w:t xml:space="preserve">Name and contact details of author: </w:t>
      </w:r>
    </w:p>
    <w:p w:rsidR="00070747" w:rsidRDefault="00070747" w:rsidP="00070747">
      <w:pPr>
        <w:pStyle w:val="NoSpacing"/>
      </w:pPr>
      <w:r>
        <w:t>Paul Wilding</w:t>
      </w:r>
      <w:r w:rsidR="00AC0DDD">
        <w:t xml:space="preserve">, </w:t>
      </w:r>
      <w:r>
        <w:t>Revenues &amp; Benefits Manager</w:t>
      </w:r>
    </w:p>
    <w:p w:rsidR="00070747" w:rsidRDefault="00070747" w:rsidP="00070747">
      <w:pPr>
        <w:pStyle w:val="NoSpacing"/>
      </w:pPr>
      <w:r>
        <w:t>01865 252461</w:t>
      </w:r>
      <w:r w:rsidR="00AC0DDD">
        <w:t xml:space="preserve">; </w:t>
      </w:r>
      <w:r>
        <w:t>pwilding@oxford.gov.uk</w:t>
      </w:r>
    </w:p>
    <w:p w:rsidR="00070747" w:rsidRDefault="00070747" w:rsidP="00070747">
      <w:pPr>
        <w:pStyle w:val="NoSpacing"/>
      </w:pPr>
    </w:p>
    <w:p w:rsidR="00070747" w:rsidRDefault="00070747" w:rsidP="00070747">
      <w:pPr>
        <w:pStyle w:val="NoSpacing"/>
        <w:rPr>
          <w:b/>
        </w:rPr>
      </w:pPr>
      <w:r w:rsidRPr="00070747">
        <w:rPr>
          <w:b/>
        </w:rPr>
        <w:t xml:space="preserve">Background papers: </w:t>
      </w:r>
    </w:p>
    <w:p w:rsidR="00070747" w:rsidRDefault="00070747" w:rsidP="00070747">
      <w:pPr>
        <w:pStyle w:val="NoSpacing"/>
      </w:pPr>
      <w:r w:rsidRPr="00070747">
        <w:t xml:space="preserve">The impacts of Welfare Reform in Oxford </w:t>
      </w:r>
      <w:r>
        <w:t>–</w:t>
      </w:r>
      <w:r w:rsidRPr="00070747">
        <w:t xml:space="preserve"> CESI</w:t>
      </w:r>
    </w:p>
    <w:p w:rsidR="00070747" w:rsidRPr="00070747" w:rsidRDefault="00070747" w:rsidP="00070747">
      <w:pPr>
        <w:pStyle w:val="NoSpacing"/>
      </w:pPr>
      <w:r>
        <w:t>Financial Inclusion Strategy</w:t>
      </w:r>
    </w:p>
    <w:p w:rsidR="00070747" w:rsidRDefault="00070747" w:rsidP="00070747">
      <w:pPr>
        <w:pStyle w:val="NoSpacing"/>
      </w:pPr>
      <w:r>
        <w:t>Version number: 0.1</w:t>
      </w:r>
    </w:p>
    <w:p w:rsidR="00E75AB4" w:rsidRDefault="00E75AB4"/>
    <w:p w:rsidR="00EA1DC6" w:rsidRDefault="00EA1DC6">
      <w:pPr>
        <w:sectPr w:rsidR="00EA1DC6" w:rsidSect="00EA1DC6">
          <w:pgSz w:w="11906" w:h="16838"/>
          <w:pgMar w:top="1440" w:right="1440" w:bottom="1440" w:left="1440" w:header="708" w:footer="708" w:gutter="0"/>
          <w:cols w:space="708"/>
          <w:docGrid w:linePitch="360"/>
        </w:sectPr>
      </w:pPr>
    </w:p>
    <w:p w:rsidR="00F66B17" w:rsidRPr="00F66B17" w:rsidRDefault="00F66B17" w:rsidP="00070747">
      <w:pPr>
        <w:rPr>
          <w:b/>
          <w:lang w:eastAsia="en-US"/>
        </w:rPr>
      </w:pPr>
      <w:r w:rsidRPr="00F66B17">
        <w:rPr>
          <w:b/>
          <w:lang w:eastAsia="en-US"/>
        </w:rPr>
        <w:lastRenderedPageBreak/>
        <w:t>Appendix One</w:t>
      </w:r>
    </w:p>
    <w:p w:rsidR="00F66B17" w:rsidRPr="00F66B17" w:rsidRDefault="005D19EB" w:rsidP="00F66B17">
      <w:pPr>
        <w:spacing w:after="0" w:line="240" w:lineRule="auto"/>
        <w:rPr>
          <w:b/>
          <w:lang w:eastAsia="en-US"/>
        </w:rPr>
      </w:pPr>
      <w:r>
        <w:rPr>
          <w:b/>
          <w:lang w:eastAsia="en-US"/>
        </w:rPr>
        <w:t xml:space="preserve">Welfare Reform Research </w:t>
      </w:r>
      <w:r w:rsidR="00F66B17" w:rsidRPr="00F66B17">
        <w:rPr>
          <w:b/>
          <w:lang w:eastAsia="en-US"/>
        </w:rPr>
        <w:t>Action Plan</w:t>
      </w:r>
    </w:p>
    <w:tbl>
      <w:tblPr>
        <w:tblStyle w:val="TableGrid2"/>
        <w:tblW w:w="15452" w:type="dxa"/>
        <w:tblInd w:w="-318" w:type="dxa"/>
        <w:tblLayout w:type="fixed"/>
        <w:tblLook w:val="04A0" w:firstRow="1" w:lastRow="0" w:firstColumn="1" w:lastColumn="0" w:noHBand="0" w:noVBand="1"/>
      </w:tblPr>
      <w:tblGrid>
        <w:gridCol w:w="1135"/>
        <w:gridCol w:w="3827"/>
        <w:gridCol w:w="1701"/>
        <w:gridCol w:w="4536"/>
        <w:gridCol w:w="2268"/>
        <w:gridCol w:w="1985"/>
      </w:tblGrid>
      <w:tr w:rsidR="00F66B17" w:rsidRPr="00F66B17" w:rsidTr="00750584">
        <w:tc>
          <w:tcPr>
            <w:tcW w:w="1135" w:type="dxa"/>
          </w:tcPr>
          <w:p w:rsidR="00F66B17" w:rsidRPr="00F66B17" w:rsidRDefault="00F66B17" w:rsidP="00F66B17">
            <w:pPr>
              <w:rPr>
                <w:rFonts w:eastAsia="Times New Roman"/>
                <w:b/>
                <w:sz w:val="22"/>
                <w:szCs w:val="22"/>
              </w:rPr>
            </w:pPr>
            <w:r w:rsidRPr="00F66B17">
              <w:rPr>
                <w:rFonts w:eastAsia="Times New Roman"/>
                <w:b/>
                <w:sz w:val="22"/>
                <w:szCs w:val="22"/>
              </w:rPr>
              <w:t>THEME</w:t>
            </w:r>
          </w:p>
        </w:tc>
        <w:tc>
          <w:tcPr>
            <w:tcW w:w="3827" w:type="dxa"/>
          </w:tcPr>
          <w:p w:rsidR="00F66B17" w:rsidRPr="00F66B17" w:rsidRDefault="00F66B17" w:rsidP="00F66B17">
            <w:pPr>
              <w:rPr>
                <w:rFonts w:eastAsia="Times New Roman"/>
                <w:b/>
                <w:sz w:val="22"/>
                <w:szCs w:val="22"/>
              </w:rPr>
            </w:pPr>
            <w:r w:rsidRPr="00F66B17">
              <w:rPr>
                <w:rFonts w:eastAsia="Times New Roman"/>
                <w:b/>
                <w:sz w:val="22"/>
                <w:szCs w:val="22"/>
              </w:rPr>
              <w:t>TASK</w:t>
            </w:r>
          </w:p>
        </w:tc>
        <w:tc>
          <w:tcPr>
            <w:tcW w:w="1701" w:type="dxa"/>
          </w:tcPr>
          <w:p w:rsidR="00F66B17" w:rsidRPr="00F66B17" w:rsidRDefault="00F66B17" w:rsidP="00F66B17">
            <w:pPr>
              <w:rPr>
                <w:rFonts w:eastAsia="Times New Roman"/>
                <w:b/>
                <w:sz w:val="22"/>
                <w:szCs w:val="22"/>
              </w:rPr>
            </w:pPr>
            <w:r w:rsidRPr="00F66B17">
              <w:rPr>
                <w:rFonts w:eastAsia="Times New Roman"/>
                <w:b/>
                <w:sz w:val="22"/>
                <w:szCs w:val="22"/>
              </w:rPr>
              <w:t>TIMESCALE</w:t>
            </w:r>
          </w:p>
        </w:tc>
        <w:tc>
          <w:tcPr>
            <w:tcW w:w="4536" w:type="dxa"/>
          </w:tcPr>
          <w:p w:rsidR="00F66B17" w:rsidRPr="00F66B17" w:rsidRDefault="00F66B17" w:rsidP="00F66B17">
            <w:pPr>
              <w:rPr>
                <w:rFonts w:eastAsia="Times New Roman"/>
                <w:b/>
                <w:sz w:val="22"/>
                <w:szCs w:val="22"/>
              </w:rPr>
            </w:pPr>
            <w:r w:rsidRPr="00F66B17">
              <w:rPr>
                <w:rFonts w:eastAsia="Times New Roman"/>
                <w:b/>
                <w:sz w:val="22"/>
                <w:szCs w:val="22"/>
              </w:rPr>
              <w:t>TARGET/OUTCOME</w:t>
            </w:r>
          </w:p>
        </w:tc>
        <w:tc>
          <w:tcPr>
            <w:tcW w:w="2268" w:type="dxa"/>
          </w:tcPr>
          <w:p w:rsidR="00F66B17" w:rsidRPr="00F66B17" w:rsidRDefault="00F66B17" w:rsidP="00F66B17">
            <w:pPr>
              <w:rPr>
                <w:rFonts w:eastAsia="Times New Roman"/>
                <w:b/>
                <w:sz w:val="22"/>
                <w:szCs w:val="22"/>
              </w:rPr>
            </w:pPr>
            <w:r w:rsidRPr="00F66B17">
              <w:rPr>
                <w:rFonts w:eastAsia="Times New Roman"/>
                <w:b/>
                <w:sz w:val="22"/>
                <w:szCs w:val="22"/>
              </w:rPr>
              <w:t>RESP.</w:t>
            </w:r>
          </w:p>
        </w:tc>
        <w:tc>
          <w:tcPr>
            <w:tcW w:w="1985" w:type="dxa"/>
          </w:tcPr>
          <w:p w:rsidR="00F66B17" w:rsidRPr="00F66B17" w:rsidRDefault="00F66B17" w:rsidP="00F66B17">
            <w:pPr>
              <w:rPr>
                <w:rFonts w:eastAsia="Times New Roman"/>
                <w:b/>
              </w:rPr>
            </w:pPr>
            <w:r w:rsidRPr="00F66B17">
              <w:rPr>
                <w:rFonts w:eastAsia="Times New Roman"/>
                <w:b/>
              </w:rPr>
              <w:t>DELIVERY PARTNERS</w:t>
            </w:r>
          </w:p>
        </w:tc>
      </w:tr>
      <w:tr w:rsidR="00F66B17" w:rsidRPr="00F66B17" w:rsidTr="00750584">
        <w:tc>
          <w:tcPr>
            <w:tcW w:w="1135" w:type="dxa"/>
            <w:vMerge w:val="restart"/>
            <w:shd w:val="clear" w:color="auto" w:fill="DBE5F1" w:themeFill="accent1" w:themeFillTint="33"/>
            <w:textDirection w:val="btLr"/>
          </w:tcPr>
          <w:p w:rsidR="00F66B17" w:rsidRPr="00F66B17" w:rsidRDefault="00F66B17" w:rsidP="00F66B17">
            <w:pPr>
              <w:ind w:left="113" w:right="113"/>
              <w:jc w:val="center"/>
              <w:rPr>
                <w:rFonts w:eastAsia="Times New Roman"/>
                <w:sz w:val="22"/>
                <w:szCs w:val="22"/>
              </w:rPr>
            </w:pPr>
            <w:r w:rsidRPr="00F66B17">
              <w:rPr>
                <w:rFonts w:eastAsia="Times New Roman"/>
                <w:sz w:val="22"/>
                <w:szCs w:val="22"/>
              </w:rPr>
              <w:t>DATA</w:t>
            </w:r>
          </w:p>
        </w:tc>
        <w:tc>
          <w:tcPr>
            <w:tcW w:w="3827"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Develop a Dashboard to help monitor the impact of Welfare Reform</w:t>
            </w:r>
          </w:p>
        </w:tc>
        <w:tc>
          <w:tcPr>
            <w:tcW w:w="1701"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Jun 15</w:t>
            </w:r>
          </w:p>
        </w:tc>
        <w:tc>
          <w:tcPr>
            <w:tcW w:w="4536"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By monitoring different sets of data, we can prioritise resources and target interventions</w:t>
            </w:r>
          </w:p>
        </w:tc>
        <w:tc>
          <w:tcPr>
            <w:tcW w:w="2268"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Revs &amp; Bens Programme Manager</w:t>
            </w:r>
          </w:p>
        </w:tc>
        <w:tc>
          <w:tcPr>
            <w:tcW w:w="1985"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JCP, Housing, Advice Sector</w:t>
            </w:r>
          </w:p>
        </w:tc>
      </w:tr>
      <w:tr w:rsidR="00F66B17" w:rsidRPr="00F66B17" w:rsidTr="00750584">
        <w:tc>
          <w:tcPr>
            <w:tcW w:w="1135" w:type="dxa"/>
            <w:vMerge/>
            <w:shd w:val="clear" w:color="auto" w:fill="DBE5F1" w:themeFill="accent1" w:themeFillTint="33"/>
            <w:textDirection w:val="btLr"/>
          </w:tcPr>
          <w:p w:rsidR="00F66B17" w:rsidRPr="00F66B17" w:rsidRDefault="00F66B17" w:rsidP="00F66B17">
            <w:pPr>
              <w:ind w:left="113" w:right="113"/>
              <w:jc w:val="center"/>
              <w:rPr>
                <w:rFonts w:eastAsia="Times New Roman"/>
                <w:sz w:val="22"/>
                <w:szCs w:val="22"/>
              </w:rPr>
            </w:pPr>
          </w:p>
        </w:tc>
        <w:tc>
          <w:tcPr>
            <w:tcW w:w="3827"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Building on the triage tool used by the Welfare Reform Team</w:t>
            </w:r>
          </w:p>
        </w:tc>
        <w:tc>
          <w:tcPr>
            <w:tcW w:w="1701" w:type="dxa"/>
            <w:shd w:val="clear" w:color="auto" w:fill="DBE5F1" w:themeFill="accent1" w:themeFillTint="33"/>
          </w:tcPr>
          <w:p w:rsidR="00F66B17" w:rsidRPr="00F66B17" w:rsidRDefault="00F66B17" w:rsidP="00F66B17">
            <w:pPr>
              <w:rPr>
                <w:rFonts w:eastAsia="Times New Roman"/>
                <w:sz w:val="22"/>
                <w:szCs w:val="22"/>
              </w:rPr>
            </w:pPr>
            <w:proofErr w:type="spellStart"/>
            <w:r w:rsidRPr="00F66B17">
              <w:rPr>
                <w:rFonts w:eastAsia="Times New Roman"/>
                <w:sz w:val="22"/>
                <w:szCs w:val="22"/>
              </w:rPr>
              <w:t>Ongoing</w:t>
            </w:r>
            <w:proofErr w:type="spellEnd"/>
          </w:p>
        </w:tc>
        <w:tc>
          <w:tcPr>
            <w:tcW w:w="4536"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Continual improvement of the triage process to ensure we can deliver the most effective support to people affected by welfare reforms</w:t>
            </w:r>
          </w:p>
        </w:tc>
        <w:tc>
          <w:tcPr>
            <w:tcW w:w="2268"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Welfare Reform Manager</w:t>
            </w:r>
          </w:p>
        </w:tc>
        <w:tc>
          <w:tcPr>
            <w:tcW w:w="1985"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Internal</w:t>
            </w:r>
          </w:p>
        </w:tc>
      </w:tr>
      <w:tr w:rsidR="00F66B17" w:rsidRPr="00F66B17" w:rsidTr="00750584">
        <w:tc>
          <w:tcPr>
            <w:tcW w:w="1135" w:type="dxa"/>
            <w:textDirection w:val="btLr"/>
          </w:tcPr>
          <w:p w:rsidR="00F66B17" w:rsidRPr="00F66B17" w:rsidRDefault="00F66B17" w:rsidP="00F66B17">
            <w:pPr>
              <w:ind w:left="113" w:right="113"/>
              <w:jc w:val="center"/>
              <w:rPr>
                <w:rFonts w:eastAsia="Times New Roman"/>
                <w:sz w:val="22"/>
                <w:szCs w:val="22"/>
              </w:rPr>
            </w:pPr>
            <w:r w:rsidRPr="00F66B17">
              <w:rPr>
                <w:rFonts w:eastAsia="Times New Roman"/>
                <w:sz w:val="22"/>
                <w:szCs w:val="22"/>
              </w:rPr>
              <w:t>DEBT – Long Term</w:t>
            </w:r>
          </w:p>
        </w:tc>
        <w:tc>
          <w:tcPr>
            <w:tcW w:w="3827" w:type="dxa"/>
          </w:tcPr>
          <w:p w:rsidR="00F66B17" w:rsidRPr="00F66B17" w:rsidRDefault="00F66B17" w:rsidP="00F66B17">
            <w:pPr>
              <w:rPr>
                <w:rFonts w:eastAsia="Times New Roman"/>
                <w:sz w:val="22"/>
                <w:szCs w:val="22"/>
              </w:rPr>
            </w:pPr>
            <w:r w:rsidRPr="00F66B17">
              <w:rPr>
                <w:rFonts w:eastAsia="Times New Roman"/>
                <w:sz w:val="22"/>
                <w:szCs w:val="22"/>
              </w:rPr>
              <w:t>Explore the scope for integrated casework for debt and arrears</w:t>
            </w:r>
          </w:p>
          <w:p w:rsidR="00F66B17" w:rsidRPr="00F66B17" w:rsidRDefault="00F66B17" w:rsidP="00F66B17">
            <w:pPr>
              <w:rPr>
                <w:rFonts w:eastAsia="Times New Roman"/>
                <w:sz w:val="22"/>
                <w:szCs w:val="22"/>
              </w:rPr>
            </w:pPr>
          </w:p>
          <w:p w:rsidR="00F66B17" w:rsidRPr="00F66B17" w:rsidRDefault="00F66B17" w:rsidP="00F66B17">
            <w:pPr>
              <w:rPr>
                <w:rFonts w:eastAsia="Times New Roman"/>
                <w:sz w:val="22"/>
                <w:szCs w:val="22"/>
              </w:rPr>
            </w:pPr>
          </w:p>
          <w:p w:rsidR="00F66B17" w:rsidRPr="00F66B17" w:rsidRDefault="00F66B17" w:rsidP="00F66B17">
            <w:pPr>
              <w:rPr>
                <w:rFonts w:eastAsia="Times New Roman"/>
                <w:sz w:val="22"/>
                <w:szCs w:val="22"/>
              </w:rPr>
            </w:pPr>
          </w:p>
        </w:tc>
        <w:tc>
          <w:tcPr>
            <w:tcW w:w="1701" w:type="dxa"/>
          </w:tcPr>
          <w:p w:rsidR="00F66B17" w:rsidRPr="00F66B17" w:rsidRDefault="00F66B17" w:rsidP="00F66B17">
            <w:pPr>
              <w:rPr>
                <w:rFonts w:eastAsia="Times New Roman"/>
                <w:sz w:val="22"/>
                <w:szCs w:val="22"/>
              </w:rPr>
            </w:pPr>
            <w:r w:rsidRPr="00F66B17">
              <w:rPr>
                <w:rFonts w:eastAsia="Times New Roman"/>
                <w:sz w:val="22"/>
                <w:szCs w:val="22"/>
              </w:rPr>
              <w:t>Dec 15</w:t>
            </w:r>
          </w:p>
        </w:tc>
        <w:tc>
          <w:tcPr>
            <w:tcW w:w="4536" w:type="dxa"/>
          </w:tcPr>
          <w:p w:rsidR="00F66B17" w:rsidRPr="00F66B17" w:rsidRDefault="00F66B17" w:rsidP="00F66B17">
            <w:pPr>
              <w:rPr>
                <w:rFonts w:eastAsia="Times New Roman"/>
                <w:sz w:val="22"/>
                <w:szCs w:val="22"/>
              </w:rPr>
            </w:pPr>
            <w:r w:rsidRPr="00F66B17">
              <w:rPr>
                <w:rFonts w:eastAsia="Times New Roman"/>
                <w:sz w:val="22"/>
                <w:szCs w:val="22"/>
              </w:rPr>
              <w:t>A co-ordinated approach to collecting multiple Council debts</w:t>
            </w:r>
          </w:p>
        </w:tc>
        <w:tc>
          <w:tcPr>
            <w:tcW w:w="2268" w:type="dxa"/>
          </w:tcPr>
          <w:p w:rsidR="00F66B17" w:rsidRPr="00F66B17" w:rsidRDefault="00F66B17" w:rsidP="00F66B17">
            <w:pPr>
              <w:rPr>
                <w:rFonts w:eastAsia="Times New Roman"/>
                <w:sz w:val="22"/>
                <w:szCs w:val="22"/>
              </w:rPr>
            </w:pPr>
            <w:r w:rsidRPr="00F66B17">
              <w:rPr>
                <w:rFonts w:eastAsia="Times New Roman"/>
                <w:sz w:val="22"/>
                <w:szCs w:val="22"/>
              </w:rPr>
              <w:t>Revs &amp; Bens Service Manager</w:t>
            </w:r>
          </w:p>
        </w:tc>
        <w:tc>
          <w:tcPr>
            <w:tcW w:w="1985" w:type="dxa"/>
          </w:tcPr>
          <w:p w:rsidR="00F66B17" w:rsidRPr="00F66B17" w:rsidRDefault="00F66B17" w:rsidP="00F66B17">
            <w:pPr>
              <w:rPr>
                <w:rFonts w:eastAsia="Times New Roman"/>
                <w:sz w:val="22"/>
                <w:szCs w:val="22"/>
              </w:rPr>
            </w:pPr>
            <w:r w:rsidRPr="00F66B17">
              <w:rPr>
                <w:rFonts w:eastAsia="Times New Roman"/>
                <w:sz w:val="22"/>
                <w:szCs w:val="22"/>
              </w:rPr>
              <w:t>Internal action</w:t>
            </w:r>
          </w:p>
        </w:tc>
      </w:tr>
      <w:tr w:rsidR="00F66B17" w:rsidRPr="00F66B17" w:rsidTr="00750584">
        <w:tc>
          <w:tcPr>
            <w:tcW w:w="1135" w:type="dxa"/>
            <w:textDirection w:val="btLr"/>
          </w:tcPr>
          <w:p w:rsidR="00F66B17" w:rsidRPr="00F66B17" w:rsidRDefault="00F66B17" w:rsidP="00F66B17">
            <w:pPr>
              <w:ind w:left="113" w:right="113"/>
              <w:jc w:val="center"/>
              <w:rPr>
                <w:rFonts w:eastAsia="Times New Roman"/>
                <w:sz w:val="22"/>
                <w:szCs w:val="22"/>
              </w:rPr>
            </w:pPr>
            <w:r w:rsidRPr="00F66B17">
              <w:rPr>
                <w:rFonts w:eastAsia="Times New Roman"/>
                <w:sz w:val="22"/>
                <w:szCs w:val="22"/>
              </w:rPr>
              <w:t>HOUSING – Long Term</w:t>
            </w:r>
          </w:p>
        </w:tc>
        <w:tc>
          <w:tcPr>
            <w:tcW w:w="3827" w:type="dxa"/>
          </w:tcPr>
          <w:p w:rsidR="00F66B17" w:rsidRPr="00F66B17" w:rsidRDefault="00F66B17" w:rsidP="00F66B17">
            <w:pPr>
              <w:rPr>
                <w:rFonts w:eastAsia="Times New Roman"/>
                <w:sz w:val="22"/>
                <w:szCs w:val="22"/>
              </w:rPr>
            </w:pPr>
            <w:r w:rsidRPr="00F66B17">
              <w:rPr>
                <w:rFonts w:eastAsia="Times New Roman"/>
                <w:sz w:val="22"/>
                <w:szCs w:val="22"/>
              </w:rPr>
              <w:t>Explore a common approach across agencies to identify priority groups, underpinned by data sharing &amp; Develop the “Oxford offer”</w:t>
            </w:r>
          </w:p>
          <w:p w:rsidR="00F66B17" w:rsidRPr="00F66B17" w:rsidRDefault="00F66B17" w:rsidP="00F66B17">
            <w:pPr>
              <w:rPr>
                <w:rFonts w:eastAsia="Times New Roman"/>
                <w:sz w:val="22"/>
                <w:szCs w:val="22"/>
              </w:rPr>
            </w:pPr>
          </w:p>
          <w:p w:rsidR="00F66B17" w:rsidRPr="00F66B17" w:rsidRDefault="00F66B17" w:rsidP="00F66B17">
            <w:pPr>
              <w:rPr>
                <w:rFonts w:eastAsia="Times New Roman"/>
                <w:sz w:val="22"/>
                <w:szCs w:val="22"/>
              </w:rPr>
            </w:pPr>
          </w:p>
        </w:tc>
        <w:tc>
          <w:tcPr>
            <w:tcW w:w="1701" w:type="dxa"/>
          </w:tcPr>
          <w:p w:rsidR="00F66B17" w:rsidRPr="00F66B17" w:rsidRDefault="00F66B17" w:rsidP="00F66B17">
            <w:pPr>
              <w:rPr>
                <w:rFonts w:eastAsia="Times New Roman"/>
                <w:sz w:val="22"/>
                <w:szCs w:val="22"/>
              </w:rPr>
            </w:pPr>
            <w:r w:rsidRPr="00F66B17">
              <w:rPr>
                <w:rFonts w:eastAsia="Times New Roman"/>
                <w:sz w:val="22"/>
                <w:szCs w:val="22"/>
              </w:rPr>
              <w:t>Feb 15 to Mar 16</w:t>
            </w:r>
          </w:p>
        </w:tc>
        <w:tc>
          <w:tcPr>
            <w:tcW w:w="4536" w:type="dxa"/>
          </w:tcPr>
          <w:p w:rsidR="00F66B17" w:rsidRPr="00F66B17" w:rsidRDefault="00F66B17" w:rsidP="00F66B17">
            <w:pPr>
              <w:rPr>
                <w:rFonts w:eastAsia="Times New Roman"/>
                <w:sz w:val="22"/>
                <w:szCs w:val="22"/>
              </w:rPr>
            </w:pPr>
            <w:r w:rsidRPr="00F66B17">
              <w:rPr>
                <w:rFonts w:eastAsia="Times New Roman"/>
                <w:sz w:val="22"/>
                <w:szCs w:val="22"/>
              </w:rPr>
              <w:t>Ensure a more consistent approach is taken in dealing with people affected by welfare reform across different organisations.</w:t>
            </w:r>
          </w:p>
        </w:tc>
        <w:tc>
          <w:tcPr>
            <w:tcW w:w="2268" w:type="dxa"/>
          </w:tcPr>
          <w:p w:rsidR="00F66B17" w:rsidRPr="00F66B17" w:rsidRDefault="00F66B17" w:rsidP="00F66B17">
            <w:pPr>
              <w:rPr>
                <w:rFonts w:eastAsia="Times New Roman"/>
                <w:sz w:val="22"/>
                <w:szCs w:val="22"/>
              </w:rPr>
            </w:pPr>
            <w:r w:rsidRPr="00F66B17">
              <w:rPr>
                <w:rFonts w:eastAsia="Times New Roman"/>
                <w:sz w:val="22"/>
                <w:szCs w:val="22"/>
              </w:rPr>
              <w:t>Welfare Reform Manager</w:t>
            </w:r>
          </w:p>
        </w:tc>
        <w:tc>
          <w:tcPr>
            <w:tcW w:w="1985" w:type="dxa"/>
          </w:tcPr>
          <w:p w:rsidR="00F66B17" w:rsidRPr="00F66B17" w:rsidRDefault="00F66B17" w:rsidP="00F66B17">
            <w:pPr>
              <w:rPr>
                <w:rFonts w:eastAsia="Times New Roman"/>
                <w:sz w:val="22"/>
                <w:szCs w:val="22"/>
              </w:rPr>
            </w:pPr>
            <w:r w:rsidRPr="00F66B17">
              <w:rPr>
                <w:rFonts w:eastAsia="Times New Roman"/>
                <w:sz w:val="22"/>
                <w:szCs w:val="22"/>
              </w:rPr>
              <w:t>Various</w:t>
            </w:r>
          </w:p>
        </w:tc>
      </w:tr>
      <w:tr w:rsidR="00F66B17" w:rsidRPr="00F66B17" w:rsidTr="00750584">
        <w:trPr>
          <w:cantSplit/>
          <w:trHeight w:val="1134"/>
        </w:trPr>
        <w:tc>
          <w:tcPr>
            <w:tcW w:w="1135" w:type="dxa"/>
            <w:shd w:val="clear" w:color="auto" w:fill="DBE5F1" w:themeFill="accent1" w:themeFillTint="33"/>
            <w:textDirection w:val="btLr"/>
          </w:tcPr>
          <w:p w:rsidR="00F66B17" w:rsidRPr="00F66B17" w:rsidRDefault="00F66B17" w:rsidP="00F66B17">
            <w:pPr>
              <w:ind w:left="113" w:right="113"/>
              <w:rPr>
                <w:rFonts w:eastAsia="Times New Roman"/>
                <w:sz w:val="22"/>
                <w:szCs w:val="22"/>
              </w:rPr>
            </w:pPr>
            <w:r w:rsidRPr="00F66B17">
              <w:rPr>
                <w:rFonts w:eastAsia="Times New Roman"/>
                <w:sz w:val="22"/>
                <w:szCs w:val="22"/>
              </w:rPr>
              <w:t>SKILLS – Short Term</w:t>
            </w:r>
          </w:p>
        </w:tc>
        <w:tc>
          <w:tcPr>
            <w:tcW w:w="3827"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Explore the scope to work with adult education providers City College to provide short, focused training as part of the offer to residents</w:t>
            </w:r>
          </w:p>
        </w:tc>
        <w:tc>
          <w:tcPr>
            <w:tcW w:w="1701"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June 14 to June 15</w:t>
            </w:r>
          </w:p>
        </w:tc>
        <w:tc>
          <w:tcPr>
            <w:tcW w:w="4536"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Ensure people affected by welfare reforms have the necessary skills to allow them to find work locally</w:t>
            </w:r>
          </w:p>
        </w:tc>
        <w:tc>
          <w:tcPr>
            <w:tcW w:w="2268"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Welfare Reform manager</w:t>
            </w:r>
          </w:p>
        </w:tc>
        <w:tc>
          <w:tcPr>
            <w:tcW w:w="1985" w:type="dxa"/>
            <w:shd w:val="clear" w:color="auto" w:fill="DBE5F1" w:themeFill="accent1" w:themeFillTint="33"/>
          </w:tcPr>
          <w:p w:rsidR="00F66B17" w:rsidRPr="00F66B17" w:rsidRDefault="00F66B17" w:rsidP="00F66B17">
            <w:pPr>
              <w:rPr>
                <w:rFonts w:eastAsia="Times New Roman"/>
                <w:sz w:val="22"/>
                <w:szCs w:val="22"/>
              </w:rPr>
            </w:pPr>
            <w:r w:rsidRPr="00F66B17">
              <w:rPr>
                <w:rFonts w:eastAsia="Times New Roman"/>
                <w:sz w:val="22"/>
                <w:szCs w:val="22"/>
              </w:rPr>
              <w:t>City of Oxford College, EMBS, WEA</w:t>
            </w:r>
          </w:p>
        </w:tc>
      </w:tr>
      <w:tr w:rsidR="00F66B17" w:rsidRPr="00F66B17" w:rsidTr="00750584">
        <w:tc>
          <w:tcPr>
            <w:tcW w:w="1135" w:type="dxa"/>
            <w:vMerge w:val="restart"/>
            <w:textDirection w:val="btLr"/>
          </w:tcPr>
          <w:p w:rsidR="00F66B17" w:rsidRPr="00F66B17" w:rsidRDefault="00F66B17" w:rsidP="00F66B17">
            <w:pPr>
              <w:ind w:left="113" w:right="113"/>
              <w:rPr>
                <w:rFonts w:eastAsia="Times New Roman"/>
                <w:sz w:val="22"/>
                <w:szCs w:val="22"/>
              </w:rPr>
            </w:pPr>
            <w:r w:rsidRPr="00F66B17">
              <w:rPr>
                <w:rFonts w:eastAsia="Times New Roman"/>
                <w:sz w:val="22"/>
                <w:szCs w:val="22"/>
              </w:rPr>
              <w:t>SKILLS – Long Term</w:t>
            </w:r>
          </w:p>
        </w:tc>
        <w:tc>
          <w:tcPr>
            <w:tcW w:w="3827" w:type="dxa"/>
          </w:tcPr>
          <w:p w:rsidR="00F66B17" w:rsidRPr="00F66B17" w:rsidRDefault="00F66B17" w:rsidP="00F66B17">
            <w:pPr>
              <w:rPr>
                <w:rFonts w:eastAsia="Times New Roman"/>
                <w:sz w:val="22"/>
                <w:szCs w:val="22"/>
              </w:rPr>
            </w:pPr>
            <w:r w:rsidRPr="00F66B17">
              <w:rPr>
                <w:rFonts w:eastAsia="Times New Roman"/>
                <w:sz w:val="22"/>
                <w:szCs w:val="22"/>
              </w:rPr>
              <w:t>Work through communities and local services to engage those further from support</w:t>
            </w:r>
          </w:p>
        </w:tc>
        <w:tc>
          <w:tcPr>
            <w:tcW w:w="1701" w:type="dxa"/>
          </w:tcPr>
          <w:p w:rsidR="00F66B17" w:rsidRPr="00F66B17" w:rsidRDefault="00F66B17" w:rsidP="00F66B17">
            <w:pPr>
              <w:rPr>
                <w:rFonts w:eastAsia="Times New Roman"/>
                <w:sz w:val="22"/>
                <w:szCs w:val="22"/>
              </w:rPr>
            </w:pPr>
            <w:proofErr w:type="spellStart"/>
            <w:r w:rsidRPr="00F66B17">
              <w:rPr>
                <w:rFonts w:eastAsia="Times New Roman"/>
                <w:sz w:val="22"/>
                <w:szCs w:val="22"/>
              </w:rPr>
              <w:t>Ongoing</w:t>
            </w:r>
            <w:proofErr w:type="spellEnd"/>
          </w:p>
        </w:tc>
        <w:tc>
          <w:tcPr>
            <w:tcW w:w="4536" w:type="dxa"/>
          </w:tcPr>
          <w:p w:rsidR="00F66B17" w:rsidRPr="00F66B17" w:rsidRDefault="00F66B17" w:rsidP="00F66B17">
            <w:pPr>
              <w:rPr>
                <w:rFonts w:eastAsia="Times New Roman"/>
                <w:sz w:val="22"/>
                <w:szCs w:val="22"/>
              </w:rPr>
            </w:pPr>
            <w:r w:rsidRPr="00F66B17">
              <w:rPr>
                <w:rFonts w:eastAsia="Times New Roman"/>
                <w:sz w:val="22"/>
                <w:szCs w:val="22"/>
              </w:rPr>
              <w:t>Explore whether community champions and peer support can be used effectively to support people affected by Welfare Reforms</w:t>
            </w:r>
          </w:p>
          <w:p w:rsidR="00F66B17" w:rsidRPr="00F66B17" w:rsidRDefault="00F66B17" w:rsidP="00F66B17">
            <w:pPr>
              <w:rPr>
                <w:rFonts w:eastAsia="Times New Roman"/>
                <w:sz w:val="22"/>
                <w:szCs w:val="22"/>
              </w:rPr>
            </w:pPr>
          </w:p>
        </w:tc>
        <w:tc>
          <w:tcPr>
            <w:tcW w:w="2268" w:type="dxa"/>
          </w:tcPr>
          <w:p w:rsidR="00F66B17" w:rsidRPr="00F66B17" w:rsidRDefault="00F66B17" w:rsidP="00F66B17">
            <w:pPr>
              <w:rPr>
                <w:rFonts w:eastAsia="Times New Roman"/>
                <w:sz w:val="22"/>
                <w:szCs w:val="22"/>
              </w:rPr>
            </w:pPr>
            <w:r w:rsidRPr="00F66B17">
              <w:rPr>
                <w:rFonts w:eastAsia="Times New Roman"/>
                <w:sz w:val="22"/>
                <w:szCs w:val="22"/>
              </w:rPr>
              <w:t>Welfare Reform manager</w:t>
            </w:r>
          </w:p>
        </w:tc>
        <w:tc>
          <w:tcPr>
            <w:tcW w:w="1985" w:type="dxa"/>
          </w:tcPr>
          <w:p w:rsidR="00F66B17" w:rsidRPr="00F66B17" w:rsidRDefault="00F66B17" w:rsidP="00F66B17">
            <w:pPr>
              <w:rPr>
                <w:rFonts w:eastAsia="Times New Roman"/>
                <w:sz w:val="22"/>
                <w:szCs w:val="22"/>
              </w:rPr>
            </w:pPr>
            <w:r w:rsidRPr="00F66B17">
              <w:rPr>
                <w:rFonts w:eastAsia="Times New Roman"/>
                <w:sz w:val="22"/>
                <w:szCs w:val="22"/>
              </w:rPr>
              <w:t>CAN Team</w:t>
            </w:r>
          </w:p>
          <w:p w:rsidR="00F66B17" w:rsidRPr="00F66B17" w:rsidRDefault="00F66B17" w:rsidP="00F66B17">
            <w:pPr>
              <w:rPr>
                <w:rFonts w:eastAsia="Times New Roman"/>
                <w:sz w:val="22"/>
                <w:szCs w:val="22"/>
              </w:rPr>
            </w:pPr>
            <w:r w:rsidRPr="00F66B17">
              <w:rPr>
                <w:rFonts w:eastAsia="Times New Roman"/>
                <w:sz w:val="22"/>
                <w:szCs w:val="22"/>
              </w:rPr>
              <w:t xml:space="preserve">Support services in </w:t>
            </w:r>
            <w:proofErr w:type="spellStart"/>
            <w:r w:rsidRPr="00F66B17">
              <w:rPr>
                <w:rFonts w:eastAsia="Times New Roman"/>
                <w:sz w:val="22"/>
                <w:szCs w:val="22"/>
              </w:rPr>
              <w:t>regen</w:t>
            </w:r>
            <w:proofErr w:type="spellEnd"/>
            <w:r w:rsidRPr="00F66B17">
              <w:rPr>
                <w:rFonts w:eastAsia="Times New Roman"/>
                <w:sz w:val="22"/>
                <w:szCs w:val="22"/>
              </w:rPr>
              <w:t xml:space="preserve"> areas</w:t>
            </w:r>
          </w:p>
        </w:tc>
      </w:tr>
      <w:tr w:rsidR="00F66B17" w:rsidRPr="00F66B17" w:rsidTr="00750584">
        <w:tc>
          <w:tcPr>
            <w:tcW w:w="1135" w:type="dxa"/>
            <w:vMerge/>
          </w:tcPr>
          <w:p w:rsidR="00F66B17" w:rsidRPr="00F66B17" w:rsidRDefault="00F66B17" w:rsidP="00F66B17">
            <w:pPr>
              <w:rPr>
                <w:rFonts w:eastAsia="Times New Roman"/>
                <w:sz w:val="22"/>
                <w:szCs w:val="22"/>
              </w:rPr>
            </w:pPr>
          </w:p>
        </w:tc>
        <w:tc>
          <w:tcPr>
            <w:tcW w:w="3827" w:type="dxa"/>
          </w:tcPr>
          <w:p w:rsidR="00F66B17" w:rsidRPr="00F66B17" w:rsidRDefault="00F66B17" w:rsidP="00F66B17">
            <w:pPr>
              <w:rPr>
                <w:rFonts w:eastAsia="Times New Roman"/>
                <w:sz w:val="22"/>
                <w:szCs w:val="22"/>
              </w:rPr>
            </w:pPr>
            <w:r w:rsidRPr="00F66B17">
              <w:rPr>
                <w:rFonts w:eastAsia="Times New Roman"/>
                <w:sz w:val="22"/>
                <w:szCs w:val="22"/>
              </w:rPr>
              <w:t>Take the opportunity of the Local Support Services Framework</w:t>
            </w:r>
          </w:p>
        </w:tc>
        <w:tc>
          <w:tcPr>
            <w:tcW w:w="1701" w:type="dxa"/>
          </w:tcPr>
          <w:p w:rsidR="00F66B17" w:rsidRPr="00F66B17" w:rsidRDefault="00F66B17" w:rsidP="00F66B17">
            <w:pPr>
              <w:rPr>
                <w:rFonts w:eastAsia="Times New Roman"/>
                <w:sz w:val="22"/>
                <w:szCs w:val="22"/>
              </w:rPr>
            </w:pPr>
            <w:r w:rsidRPr="00F66B17">
              <w:rPr>
                <w:rFonts w:eastAsia="Times New Roman"/>
                <w:sz w:val="22"/>
                <w:szCs w:val="22"/>
              </w:rPr>
              <w:t>Jan 15 to Mar 16</w:t>
            </w:r>
          </w:p>
        </w:tc>
        <w:tc>
          <w:tcPr>
            <w:tcW w:w="4536" w:type="dxa"/>
          </w:tcPr>
          <w:p w:rsidR="00F66B17" w:rsidRPr="00F66B17" w:rsidRDefault="00F66B17" w:rsidP="00F66B17">
            <w:pPr>
              <w:rPr>
                <w:rFonts w:eastAsia="Times New Roman"/>
                <w:sz w:val="22"/>
                <w:szCs w:val="22"/>
              </w:rPr>
            </w:pPr>
            <w:r w:rsidRPr="00F66B17">
              <w:rPr>
                <w:rFonts w:eastAsia="Times New Roman"/>
                <w:sz w:val="22"/>
                <w:szCs w:val="22"/>
              </w:rPr>
              <w:t xml:space="preserve">Use the Delivery Partnership Arrangement to test how different support needs can be delivered by working together with local </w:t>
            </w:r>
            <w:r w:rsidRPr="00F66B17">
              <w:rPr>
                <w:rFonts w:eastAsia="Times New Roman"/>
                <w:sz w:val="22"/>
                <w:szCs w:val="22"/>
              </w:rPr>
              <w:lastRenderedPageBreak/>
              <w:t>providers</w:t>
            </w:r>
          </w:p>
        </w:tc>
        <w:tc>
          <w:tcPr>
            <w:tcW w:w="2268" w:type="dxa"/>
          </w:tcPr>
          <w:p w:rsidR="00F66B17" w:rsidRPr="00F66B17" w:rsidRDefault="00F66B17" w:rsidP="00F66B17">
            <w:pPr>
              <w:rPr>
                <w:rFonts w:eastAsia="Times New Roman"/>
                <w:sz w:val="22"/>
                <w:szCs w:val="22"/>
              </w:rPr>
            </w:pPr>
            <w:r w:rsidRPr="00F66B17">
              <w:rPr>
                <w:rFonts w:eastAsia="Times New Roman"/>
                <w:sz w:val="22"/>
                <w:szCs w:val="22"/>
              </w:rPr>
              <w:lastRenderedPageBreak/>
              <w:t>Revs &amp; Bens Programme Manager</w:t>
            </w:r>
          </w:p>
        </w:tc>
        <w:tc>
          <w:tcPr>
            <w:tcW w:w="1985" w:type="dxa"/>
          </w:tcPr>
          <w:p w:rsidR="00F66B17" w:rsidRPr="00F66B17" w:rsidRDefault="00F66B17" w:rsidP="00F66B17">
            <w:pPr>
              <w:rPr>
                <w:rFonts w:eastAsia="Times New Roman"/>
                <w:sz w:val="22"/>
                <w:szCs w:val="22"/>
              </w:rPr>
            </w:pPr>
            <w:r w:rsidRPr="00F66B17">
              <w:rPr>
                <w:rFonts w:eastAsia="Times New Roman"/>
                <w:sz w:val="22"/>
                <w:szCs w:val="22"/>
              </w:rPr>
              <w:t>Various</w:t>
            </w:r>
          </w:p>
        </w:tc>
      </w:tr>
      <w:tr w:rsidR="00F66B17" w:rsidRPr="00F66B17" w:rsidTr="00750584">
        <w:tc>
          <w:tcPr>
            <w:tcW w:w="1135" w:type="dxa"/>
            <w:vMerge/>
          </w:tcPr>
          <w:p w:rsidR="00F66B17" w:rsidRPr="00F66B17" w:rsidRDefault="00F66B17" w:rsidP="00F66B17">
            <w:pPr>
              <w:rPr>
                <w:rFonts w:eastAsia="Times New Roman"/>
                <w:sz w:val="22"/>
                <w:szCs w:val="22"/>
              </w:rPr>
            </w:pPr>
          </w:p>
        </w:tc>
        <w:tc>
          <w:tcPr>
            <w:tcW w:w="3827" w:type="dxa"/>
          </w:tcPr>
          <w:p w:rsidR="00F66B17" w:rsidRPr="00F66B17" w:rsidRDefault="00F66B17" w:rsidP="00F66B17">
            <w:pPr>
              <w:rPr>
                <w:rFonts w:eastAsia="Times New Roman"/>
                <w:sz w:val="22"/>
                <w:szCs w:val="22"/>
              </w:rPr>
            </w:pPr>
            <w:r w:rsidRPr="00F66B17">
              <w:rPr>
                <w:rFonts w:eastAsia="Times New Roman"/>
                <w:sz w:val="22"/>
                <w:szCs w:val="22"/>
              </w:rPr>
              <w:t>Build on ‘Benefits in Practice’ to reach those with health conditions and disabled people</w:t>
            </w:r>
          </w:p>
        </w:tc>
        <w:tc>
          <w:tcPr>
            <w:tcW w:w="1701" w:type="dxa"/>
          </w:tcPr>
          <w:p w:rsidR="00F66B17" w:rsidRPr="00F66B17" w:rsidRDefault="00F66B17" w:rsidP="00F66B17">
            <w:pPr>
              <w:rPr>
                <w:rFonts w:eastAsia="Times New Roman"/>
                <w:sz w:val="22"/>
                <w:szCs w:val="22"/>
              </w:rPr>
            </w:pPr>
            <w:r w:rsidRPr="00F66B17">
              <w:rPr>
                <w:rFonts w:eastAsia="Times New Roman"/>
                <w:sz w:val="22"/>
                <w:szCs w:val="22"/>
              </w:rPr>
              <w:t>Jan 15 to Jun 15</w:t>
            </w:r>
          </w:p>
        </w:tc>
        <w:tc>
          <w:tcPr>
            <w:tcW w:w="4536" w:type="dxa"/>
          </w:tcPr>
          <w:p w:rsidR="00F66B17" w:rsidRPr="00F66B17" w:rsidRDefault="00F66B17" w:rsidP="00F66B17">
            <w:pPr>
              <w:rPr>
                <w:rFonts w:eastAsia="Times New Roman"/>
                <w:sz w:val="22"/>
                <w:szCs w:val="22"/>
              </w:rPr>
            </w:pPr>
            <w:r w:rsidRPr="00F66B17">
              <w:rPr>
                <w:rFonts w:eastAsia="Times New Roman"/>
                <w:sz w:val="22"/>
                <w:szCs w:val="22"/>
              </w:rPr>
              <w:t>Improve access to the Welfare Reform team for harder to reach customers</w:t>
            </w:r>
          </w:p>
        </w:tc>
        <w:tc>
          <w:tcPr>
            <w:tcW w:w="2268" w:type="dxa"/>
          </w:tcPr>
          <w:p w:rsidR="00F66B17" w:rsidRPr="00F66B17" w:rsidRDefault="00F66B17" w:rsidP="00F66B17">
            <w:pPr>
              <w:rPr>
                <w:rFonts w:eastAsia="Times New Roman"/>
                <w:sz w:val="22"/>
                <w:szCs w:val="22"/>
              </w:rPr>
            </w:pPr>
            <w:r w:rsidRPr="00F66B17">
              <w:rPr>
                <w:rFonts w:eastAsia="Times New Roman"/>
                <w:sz w:val="22"/>
                <w:szCs w:val="22"/>
              </w:rPr>
              <w:t>Welfare Reform Manager</w:t>
            </w:r>
          </w:p>
        </w:tc>
        <w:tc>
          <w:tcPr>
            <w:tcW w:w="1985" w:type="dxa"/>
          </w:tcPr>
          <w:p w:rsidR="00F66B17" w:rsidRPr="00F66B17" w:rsidRDefault="00F66B17" w:rsidP="00F66B17">
            <w:pPr>
              <w:rPr>
                <w:rFonts w:eastAsia="Times New Roman"/>
                <w:sz w:val="22"/>
                <w:szCs w:val="22"/>
              </w:rPr>
            </w:pPr>
            <w:r w:rsidRPr="00F66B17">
              <w:rPr>
                <w:rFonts w:eastAsia="Times New Roman"/>
                <w:sz w:val="22"/>
                <w:szCs w:val="22"/>
              </w:rPr>
              <w:t>Health Improvement Board</w:t>
            </w:r>
          </w:p>
        </w:tc>
      </w:tr>
    </w:tbl>
    <w:p w:rsidR="00F66B17" w:rsidRPr="00F66B17" w:rsidRDefault="00F66B17" w:rsidP="00F66B17">
      <w:pPr>
        <w:spacing w:after="0" w:line="240" w:lineRule="auto"/>
        <w:rPr>
          <w:rFonts w:eastAsia="Times New Roman"/>
          <w:lang w:eastAsia="en-US"/>
        </w:rPr>
      </w:pPr>
    </w:p>
    <w:p w:rsidR="00F66B17" w:rsidRPr="00F66B17" w:rsidRDefault="00F66B17" w:rsidP="00F66B17">
      <w:pPr>
        <w:spacing w:after="0" w:line="240" w:lineRule="auto"/>
        <w:rPr>
          <w:rFonts w:eastAsia="Times New Roman"/>
          <w:b/>
          <w:lang w:eastAsia="en-US"/>
        </w:rPr>
      </w:pPr>
      <w:r w:rsidRPr="00F66B17">
        <w:rPr>
          <w:rFonts w:eastAsia="Times New Roman"/>
          <w:b/>
          <w:lang w:eastAsia="en-US"/>
        </w:rPr>
        <w:t>Recommendations which are already being delivered</w:t>
      </w:r>
    </w:p>
    <w:p w:rsidR="00F66B17" w:rsidRPr="00F66B17" w:rsidRDefault="00F66B17" w:rsidP="00F66B17">
      <w:pPr>
        <w:spacing w:after="0" w:line="240" w:lineRule="auto"/>
        <w:rPr>
          <w:rFonts w:eastAsia="Times New Roman"/>
          <w:lang w:eastAsia="en-US"/>
        </w:rPr>
      </w:pPr>
      <w:r w:rsidRPr="00F66B17">
        <w:rPr>
          <w:rFonts w:eastAsia="Times New Roman"/>
          <w:lang w:eastAsia="en-US"/>
        </w:rPr>
        <w:t>A number of recommendations that CESI made are already being delivered as part of our Business as Usual processes or are already actions within the Financial Inclusion Strategy. These are as follows:</w:t>
      </w:r>
    </w:p>
    <w:p w:rsidR="00F66B17" w:rsidRPr="00F66B17" w:rsidRDefault="00F66B17" w:rsidP="00F66B17">
      <w:pPr>
        <w:spacing w:after="0" w:line="240" w:lineRule="auto"/>
        <w:rPr>
          <w:rFonts w:eastAsia="Times New Roman"/>
          <w:lang w:eastAsia="en-US"/>
        </w:rPr>
      </w:pPr>
    </w:p>
    <w:p w:rsidR="00F66B17" w:rsidRPr="00F66B17" w:rsidRDefault="00F66B17" w:rsidP="00F66B17">
      <w:pPr>
        <w:spacing w:after="0" w:line="240" w:lineRule="auto"/>
        <w:rPr>
          <w:rFonts w:eastAsia="Times New Roman"/>
          <w:lang w:eastAsia="en-US"/>
        </w:rPr>
      </w:pPr>
      <w:r w:rsidRPr="00F66B17">
        <w:rPr>
          <w:rFonts w:eastAsia="Times New Roman"/>
          <w:lang w:eastAsia="en-US"/>
        </w:rPr>
        <w:t xml:space="preserve">Try to build in follow-up activity as well as signposting and referral – Anyone affected by a welfare reform </w:t>
      </w:r>
      <w:proofErr w:type="gramStart"/>
      <w:r w:rsidRPr="00F66B17">
        <w:rPr>
          <w:rFonts w:eastAsia="Times New Roman"/>
          <w:lang w:eastAsia="en-US"/>
        </w:rPr>
        <w:t>who</w:t>
      </w:r>
      <w:proofErr w:type="gramEnd"/>
      <w:r w:rsidRPr="00F66B17">
        <w:rPr>
          <w:rFonts w:eastAsia="Times New Roman"/>
          <w:lang w:eastAsia="en-US"/>
        </w:rPr>
        <w:t xml:space="preserve"> is being supported by the Welfare Reform team with a DHP will have any referrals for support followed up</w:t>
      </w:r>
    </w:p>
    <w:p w:rsidR="00F66B17" w:rsidRPr="00F66B17" w:rsidRDefault="00F66B17" w:rsidP="00F66B17">
      <w:pPr>
        <w:spacing w:after="0" w:line="240" w:lineRule="auto"/>
        <w:rPr>
          <w:rFonts w:eastAsia="Times New Roman"/>
          <w:lang w:eastAsia="en-US"/>
        </w:rPr>
      </w:pPr>
      <w:r w:rsidRPr="00F66B17">
        <w:rPr>
          <w:rFonts w:eastAsia="Times New Roman"/>
          <w:lang w:eastAsia="en-US"/>
        </w:rPr>
        <w:t>Build on existing employment and support and focus this on residents impacted by welfare reforms – This is already being undertaken by the Welfare Reform Team</w:t>
      </w:r>
    </w:p>
    <w:p w:rsidR="00F66B17" w:rsidRPr="00F66B17" w:rsidRDefault="00F66B17" w:rsidP="00F66B17">
      <w:pPr>
        <w:spacing w:after="0" w:line="240" w:lineRule="auto"/>
        <w:rPr>
          <w:rFonts w:eastAsia="Times New Roman"/>
          <w:lang w:eastAsia="en-US"/>
        </w:rPr>
      </w:pPr>
      <w:r w:rsidRPr="00F66B17">
        <w:rPr>
          <w:rFonts w:eastAsia="Times New Roman"/>
          <w:lang w:eastAsia="en-US"/>
        </w:rPr>
        <w:t>Ensure that links are made with wider strategy and policy work within the Council – This is happening through co-ordination with Corporate Policy which has resulted in papers going to the Health Improvement Board and Oxford Strategic Partnership. Work has also been undertaken with the LEP to inform its Strategy and to develop the Commissioning work.</w:t>
      </w:r>
    </w:p>
    <w:p w:rsidR="00F66B17" w:rsidRPr="00F66B17" w:rsidRDefault="00F66B17" w:rsidP="00F66B17">
      <w:pPr>
        <w:spacing w:after="0" w:line="240" w:lineRule="auto"/>
        <w:rPr>
          <w:rFonts w:eastAsia="Times New Roman"/>
          <w:lang w:eastAsia="en-US"/>
        </w:rPr>
      </w:pPr>
    </w:p>
    <w:p w:rsidR="00F66B17" w:rsidRPr="00F66B17" w:rsidRDefault="00F66B17" w:rsidP="00F66B17">
      <w:pPr>
        <w:spacing w:after="0" w:line="240" w:lineRule="auto"/>
        <w:rPr>
          <w:rFonts w:eastAsia="Times New Roman"/>
          <w:b/>
          <w:lang w:eastAsia="en-US"/>
        </w:rPr>
      </w:pPr>
      <w:r w:rsidRPr="00F66B17">
        <w:rPr>
          <w:rFonts w:eastAsia="Times New Roman"/>
          <w:b/>
          <w:lang w:eastAsia="en-US"/>
        </w:rPr>
        <w:t>Recommendations which won’t be taken forward</w:t>
      </w:r>
    </w:p>
    <w:p w:rsidR="00F66B17" w:rsidRPr="00F66B17" w:rsidRDefault="00F66B17" w:rsidP="00F66B17">
      <w:pPr>
        <w:spacing w:after="0" w:line="240" w:lineRule="auto"/>
        <w:rPr>
          <w:rFonts w:eastAsia="Times New Roman"/>
          <w:lang w:eastAsia="en-US"/>
        </w:rPr>
      </w:pPr>
      <w:r w:rsidRPr="00F66B17">
        <w:rPr>
          <w:rFonts w:eastAsia="Times New Roman"/>
          <w:lang w:eastAsia="en-US"/>
        </w:rPr>
        <w:t>Information sheet with key contacts for support services – To be useful, this sheet would need to be a booklet to contain all the useful contacts that support services would require, and it would constantly need to be updated. The OOAST Partnership that was formed last year has developed a website aimed to support signposting to support services, and this is a more useful tool than an information sheet</w:t>
      </w:r>
    </w:p>
    <w:p w:rsidR="00F66B17" w:rsidRPr="00F66B17" w:rsidRDefault="00F66B17" w:rsidP="00F66B17">
      <w:pPr>
        <w:spacing w:after="0" w:line="240" w:lineRule="auto"/>
        <w:rPr>
          <w:rFonts w:eastAsia="Times New Roman"/>
          <w:lang w:eastAsia="en-US"/>
        </w:rPr>
      </w:pPr>
      <w:r w:rsidRPr="00F66B17">
        <w:rPr>
          <w:rFonts w:eastAsia="Times New Roman"/>
          <w:lang w:eastAsia="en-US"/>
        </w:rPr>
        <w:t xml:space="preserve">For priority groups, explore the scope for integrated case management through a ‘key worker’ model – The recommendation proposes using the caseworker model to co-ordinate delivery of housing, health, employment and advice services. Whilst desirable this is not something which can be </w:t>
      </w:r>
      <w:proofErr w:type="spellStart"/>
      <w:r w:rsidRPr="00F66B17">
        <w:rPr>
          <w:rFonts w:eastAsia="Times New Roman"/>
          <w:lang w:eastAsia="en-US"/>
        </w:rPr>
        <w:t>lead</w:t>
      </w:r>
      <w:proofErr w:type="spellEnd"/>
      <w:r w:rsidRPr="00F66B17">
        <w:rPr>
          <w:rFonts w:eastAsia="Times New Roman"/>
          <w:lang w:eastAsia="en-US"/>
        </w:rPr>
        <w:t xml:space="preserve"> by the Council’s FIS</w:t>
      </w:r>
    </w:p>
    <w:p w:rsidR="00F66B17" w:rsidRPr="00F66B17" w:rsidRDefault="00F66B17" w:rsidP="00F66B17">
      <w:pPr>
        <w:spacing w:after="0" w:line="240" w:lineRule="auto"/>
        <w:rPr>
          <w:rFonts w:eastAsia="Times New Roman"/>
          <w:lang w:eastAsia="en-US"/>
        </w:rPr>
      </w:pPr>
      <w:r w:rsidRPr="00F66B17">
        <w:rPr>
          <w:rFonts w:eastAsia="Times New Roman"/>
          <w:lang w:eastAsia="en-US"/>
        </w:rPr>
        <w:t>Jobcentre Plus should look to provide case-managed adviser support to residents who claim JSA and have significant welfare reform impacts – The best way for this to be taken forward is for the City Council to work in partnership with JCP to support and case manage customers utilising each organisation’s respective strengths</w:t>
      </w:r>
    </w:p>
    <w:p w:rsidR="00F66B17" w:rsidRPr="00F66B17" w:rsidRDefault="00F66B17" w:rsidP="00F66B17">
      <w:pPr>
        <w:spacing w:after="0" w:line="240" w:lineRule="auto"/>
        <w:rPr>
          <w:rFonts w:eastAsia="Times New Roman"/>
          <w:lang w:eastAsia="en-US"/>
        </w:rPr>
      </w:pPr>
      <w:r w:rsidRPr="00F66B17">
        <w:rPr>
          <w:rFonts w:eastAsia="Times New Roman"/>
          <w:lang w:eastAsia="en-US"/>
        </w:rPr>
        <w:t>Develop the cost-benefit case for additional investment in managing reforms – This proposal suggests lobbying central government for greater local control of funding to for case managed support of residents. This is not the function of the FIS</w:t>
      </w:r>
    </w:p>
    <w:p w:rsidR="00183925" w:rsidRDefault="00F66B17">
      <w:r w:rsidRPr="00F66B17">
        <w:rPr>
          <w:rFonts w:eastAsia="Times New Roman"/>
          <w:lang w:eastAsia="en-US"/>
        </w:rPr>
        <w:t>In the longer term, ensure that the need for affordable housing for low-income workers is a clear part of the planning cycle – This is not something the FIS can take forward, but the recommendation is a priority for the Council</w:t>
      </w:r>
    </w:p>
    <w:sectPr w:rsidR="00183925" w:rsidSect="00EA1DC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22DD4"/>
    <w:multiLevelType w:val="hybridMultilevel"/>
    <w:tmpl w:val="96E8E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664836"/>
    <w:multiLevelType w:val="hybridMultilevel"/>
    <w:tmpl w:val="00F4E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925"/>
    <w:rsid w:val="00014C23"/>
    <w:rsid w:val="00037F7B"/>
    <w:rsid w:val="00070747"/>
    <w:rsid w:val="00077933"/>
    <w:rsid w:val="00144118"/>
    <w:rsid w:val="00183925"/>
    <w:rsid w:val="00280DDA"/>
    <w:rsid w:val="003D1C47"/>
    <w:rsid w:val="003F4BFE"/>
    <w:rsid w:val="004A3A2E"/>
    <w:rsid w:val="004D554F"/>
    <w:rsid w:val="004F7F44"/>
    <w:rsid w:val="005D19EB"/>
    <w:rsid w:val="00666CB3"/>
    <w:rsid w:val="007947AC"/>
    <w:rsid w:val="007D57E4"/>
    <w:rsid w:val="0096698A"/>
    <w:rsid w:val="009D3B37"/>
    <w:rsid w:val="00A27DD6"/>
    <w:rsid w:val="00A44D1D"/>
    <w:rsid w:val="00AC0DDD"/>
    <w:rsid w:val="00BB4C5D"/>
    <w:rsid w:val="00BD002E"/>
    <w:rsid w:val="00CC6AF9"/>
    <w:rsid w:val="00CD3466"/>
    <w:rsid w:val="00CE2CD0"/>
    <w:rsid w:val="00CF118A"/>
    <w:rsid w:val="00E75AB4"/>
    <w:rsid w:val="00EA1DC6"/>
    <w:rsid w:val="00EB257A"/>
    <w:rsid w:val="00EB7F34"/>
    <w:rsid w:val="00EF05FC"/>
    <w:rsid w:val="00F46A3D"/>
    <w:rsid w:val="00F66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F66B17"/>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66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54F"/>
    <w:rPr>
      <w:rFonts w:ascii="Tahoma" w:hAnsi="Tahoma" w:cs="Tahoma"/>
      <w:sz w:val="16"/>
      <w:szCs w:val="16"/>
    </w:rPr>
  </w:style>
  <w:style w:type="paragraph" w:styleId="ListParagraph">
    <w:name w:val="List Paragraph"/>
    <w:basedOn w:val="Normal"/>
    <w:uiPriority w:val="34"/>
    <w:qFormat/>
    <w:rsid w:val="00070747"/>
    <w:pPr>
      <w:ind w:left="720"/>
      <w:contextualSpacing/>
    </w:pPr>
  </w:style>
  <w:style w:type="paragraph" w:styleId="NoSpacing">
    <w:name w:val="No Spacing"/>
    <w:uiPriority w:val="1"/>
    <w:qFormat/>
    <w:rsid w:val="00070747"/>
    <w:pPr>
      <w:spacing w:after="0" w:line="240" w:lineRule="auto"/>
    </w:pPr>
  </w:style>
  <w:style w:type="character" w:styleId="CommentReference">
    <w:name w:val="annotation reference"/>
    <w:basedOn w:val="DefaultParagraphFont"/>
    <w:uiPriority w:val="99"/>
    <w:semiHidden/>
    <w:unhideWhenUsed/>
    <w:rsid w:val="00BD002E"/>
    <w:rPr>
      <w:sz w:val="16"/>
      <w:szCs w:val="16"/>
    </w:rPr>
  </w:style>
  <w:style w:type="paragraph" w:styleId="CommentText">
    <w:name w:val="annotation text"/>
    <w:basedOn w:val="Normal"/>
    <w:link w:val="CommentTextChar"/>
    <w:uiPriority w:val="99"/>
    <w:semiHidden/>
    <w:unhideWhenUsed/>
    <w:rsid w:val="00BD002E"/>
    <w:pPr>
      <w:spacing w:line="240" w:lineRule="auto"/>
    </w:pPr>
    <w:rPr>
      <w:sz w:val="20"/>
      <w:szCs w:val="20"/>
    </w:rPr>
  </w:style>
  <w:style w:type="character" w:customStyle="1" w:styleId="CommentTextChar">
    <w:name w:val="Comment Text Char"/>
    <w:basedOn w:val="DefaultParagraphFont"/>
    <w:link w:val="CommentText"/>
    <w:uiPriority w:val="99"/>
    <w:semiHidden/>
    <w:rsid w:val="00BD002E"/>
    <w:rPr>
      <w:sz w:val="20"/>
      <w:szCs w:val="20"/>
    </w:rPr>
  </w:style>
  <w:style w:type="paragraph" w:styleId="CommentSubject">
    <w:name w:val="annotation subject"/>
    <w:basedOn w:val="CommentText"/>
    <w:next w:val="CommentText"/>
    <w:link w:val="CommentSubjectChar"/>
    <w:uiPriority w:val="99"/>
    <w:semiHidden/>
    <w:unhideWhenUsed/>
    <w:rsid w:val="00BD002E"/>
    <w:rPr>
      <w:b/>
      <w:bCs/>
    </w:rPr>
  </w:style>
  <w:style w:type="character" w:customStyle="1" w:styleId="CommentSubjectChar">
    <w:name w:val="Comment Subject Char"/>
    <w:basedOn w:val="CommentTextChar"/>
    <w:link w:val="CommentSubject"/>
    <w:uiPriority w:val="99"/>
    <w:semiHidden/>
    <w:rsid w:val="00BD00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F66B17"/>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66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54F"/>
    <w:rPr>
      <w:rFonts w:ascii="Tahoma" w:hAnsi="Tahoma" w:cs="Tahoma"/>
      <w:sz w:val="16"/>
      <w:szCs w:val="16"/>
    </w:rPr>
  </w:style>
  <w:style w:type="paragraph" w:styleId="ListParagraph">
    <w:name w:val="List Paragraph"/>
    <w:basedOn w:val="Normal"/>
    <w:uiPriority w:val="34"/>
    <w:qFormat/>
    <w:rsid w:val="00070747"/>
    <w:pPr>
      <w:ind w:left="720"/>
      <w:contextualSpacing/>
    </w:pPr>
  </w:style>
  <w:style w:type="paragraph" w:styleId="NoSpacing">
    <w:name w:val="No Spacing"/>
    <w:uiPriority w:val="1"/>
    <w:qFormat/>
    <w:rsid w:val="00070747"/>
    <w:pPr>
      <w:spacing w:after="0" w:line="240" w:lineRule="auto"/>
    </w:pPr>
  </w:style>
  <w:style w:type="character" w:styleId="CommentReference">
    <w:name w:val="annotation reference"/>
    <w:basedOn w:val="DefaultParagraphFont"/>
    <w:uiPriority w:val="99"/>
    <w:semiHidden/>
    <w:unhideWhenUsed/>
    <w:rsid w:val="00BD002E"/>
    <w:rPr>
      <w:sz w:val="16"/>
      <w:szCs w:val="16"/>
    </w:rPr>
  </w:style>
  <w:style w:type="paragraph" w:styleId="CommentText">
    <w:name w:val="annotation text"/>
    <w:basedOn w:val="Normal"/>
    <w:link w:val="CommentTextChar"/>
    <w:uiPriority w:val="99"/>
    <w:semiHidden/>
    <w:unhideWhenUsed/>
    <w:rsid w:val="00BD002E"/>
    <w:pPr>
      <w:spacing w:line="240" w:lineRule="auto"/>
    </w:pPr>
    <w:rPr>
      <w:sz w:val="20"/>
      <w:szCs w:val="20"/>
    </w:rPr>
  </w:style>
  <w:style w:type="character" w:customStyle="1" w:styleId="CommentTextChar">
    <w:name w:val="Comment Text Char"/>
    <w:basedOn w:val="DefaultParagraphFont"/>
    <w:link w:val="CommentText"/>
    <w:uiPriority w:val="99"/>
    <w:semiHidden/>
    <w:rsid w:val="00BD002E"/>
    <w:rPr>
      <w:sz w:val="20"/>
      <w:szCs w:val="20"/>
    </w:rPr>
  </w:style>
  <w:style w:type="paragraph" w:styleId="CommentSubject">
    <w:name w:val="annotation subject"/>
    <w:basedOn w:val="CommentText"/>
    <w:next w:val="CommentText"/>
    <w:link w:val="CommentSubjectChar"/>
    <w:uiPriority w:val="99"/>
    <w:semiHidden/>
    <w:unhideWhenUsed/>
    <w:rsid w:val="00BD002E"/>
    <w:rPr>
      <w:b/>
      <w:bCs/>
    </w:rPr>
  </w:style>
  <w:style w:type="character" w:customStyle="1" w:styleId="CommentSubjectChar">
    <w:name w:val="Comment Subject Char"/>
    <w:basedOn w:val="CommentTextChar"/>
    <w:link w:val="CommentSubject"/>
    <w:uiPriority w:val="99"/>
    <w:semiHidden/>
    <w:rsid w:val="00BD0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97B55EB9</Template>
  <TotalTime>2</TotalTime>
  <Pages>4</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paul.wilding</dc:creator>
  <cp:lastModifiedBy>andrew.brown2</cp:lastModifiedBy>
  <cp:revision>4</cp:revision>
  <dcterms:created xsi:type="dcterms:W3CDTF">2015-02-20T13:30:00Z</dcterms:created>
  <dcterms:modified xsi:type="dcterms:W3CDTF">2015-02-20T13:31:00Z</dcterms:modified>
</cp:coreProperties>
</file>