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9239" w14:textId="77777777" w:rsidR="0014205D" w:rsidRPr="002162CE" w:rsidRDefault="0014205D" w:rsidP="002162CE">
      <w:pPr>
        <w:pStyle w:val="Heading1"/>
      </w:pPr>
      <w:r w:rsidRPr="002162CE">
        <w:t xml:space="preserve">10. </w:t>
      </w:r>
      <w:r w:rsidRPr="002162CE">
        <w:tab/>
        <w:t>Proper Officers</w:t>
      </w:r>
    </w:p>
    <w:p w14:paraId="5C83923A" w14:textId="77777777" w:rsidR="0014205D" w:rsidRDefault="0014205D" w:rsidP="0014205D">
      <w:pPr>
        <w:ind w:left="709"/>
        <w:rPr>
          <w:color w:val="auto"/>
          <w:lang w:eastAsia="en-US"/>
        </w:rPr>
      </w:pPr>
    </w:p>
    <w:p w14:paraId="5C83923B" w14:textId="77777777" w:rsidR="00B61E2B" w:rsidRDefault="00B61E2B">
      <w:pPr>
        <w:pStyle w:val="TOC2"/>
        <w:tabs>
          <w:tab w:val="left" w:pos="1320"/>
        </w:tabs>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\h \z \u </w:instrText>
      </w:r>
      <w:r>
        <w:rPr>
          <w:color w:val="auto"/>
          <w:lang w:eastAsia="en-US"/>
        </w:rPr>
        <w:fldChar w:fldCharType="separate"/>
      </w:r>
      <w:hyperlink w:anchor="_Toc25849473" w:history="1">
        <w:r w:rsidRPr="00FF0A70">
          <w:rPr>
            <w:rStyle w:val="Hyperlink"/>
          </w:rPr>
          <w:t>10.1</w:t>
        </w:r>
        <w:r>
          <w:rPr>
            <w:rFonts w:asciiTheme="minorHAnsi" w:eastAsiaTheme="minorEastAsia" w:hAnsiTheme="minorHAnsi" w:cstheme="minorBidi"/>
            <w:color w:val="auto"/>
            <w:sz w:val="22"/>
            <w:szCs w:val="22"/>
          </w:rPr>
          <w:tab/>
        </w:r>
        <w:r w:rsidRPr="00FF0A70">
          <w:rPr>
            <w:rStyle w:val="Hyperlink"/>
          </w:rPr>
          <w:t>Appointment of proper officer</w:t>
        </w:r>
      </w:hyperlink>
    </w:p>
    <w:p w14:paraId="5C83923C" w14:textId="77777777" w:rsidR="00B61E2B" w:rsidRDefault="00000000">
      <w:pPr>
        <w:pStyle w:val="TOC2"/>
        <w:tabs>
          <w:tab w:val="left" w:pos="1320"/>
        </w:tabs>
        <w:rPr>
          <w:rFonts w:asciiTheme="minorHAnsi" w:eastAsiaTheme="minorEastAsia" w:hAnsiTheme="minorHAnsi" w:cstheme="minorBidi"/>
          <w:color w:val="auto"/>
          <w:sz w:val="22"/>
          <w:szCs w:val="22"/>
        </w:rPr>
      </w:pPr>
      <w:hyperlink w:anchor="_Toc25849474" w:history="1">
        <w:r w:rsidR="00B61E2B" w:rsidRPr="00FF0A70">
          <w:rPr>
            <w:rStyle w:val="Hyperlink"/>
          </w:rPr>
          <w:t>10.2</w:t>
        </w:r>
        <w:r w:rsidR="00B61E2B">
          <w:rPr>
            <w:rFonts w:asciiTheme="minorHAnsi" w:eastAsiaTheme="minorEastAsia" w:hAnsiTheme="minorHAnsi" w:cstheme="minorBidi"/>
            <w:color w:val="auto"/>
            <w:sz w:val="22"/>
            <w:szCs w:val="22"/>
          </w:rPr>
          <w:tab/>
        </w:r>
        <w:r w:rsidR="00B61E2B" w:rsidRPr="00FF0A70">
          <w:rPr>
            <w:rStyle w:val="Hyperlink"/>
          </w:rPr>
          <w:t>Responsibilities and proper officers</w:t>
        </w:r>
      </w:hyperlink>
    </w:p>
    <w:p w14:paraId="5C83923D" w14:textId="77777777" w:rsidR="00B61E2B" w:rsidRPr="0014205D" w:rsidRDefault="00B61E2B" w:rsidP="0014205D">
      <w:pPr>
        <w:ind w:left="709"/>
        <w:rPr>
          <w:color w:val="auto"/>
          <w:lang w:eastAsia="en-US"/>
        </w:rPr>
      </w:pPr>
      <w:r>
        <w:rPr>
          <w:color w:val="auto"/>
          <w:lang w:eastAsia="en-US"/>
        </w:rPr>
        <w:fldChar w:fldCharType="end"/>
      </w:r>
    </w:p>
    <w:p w14:paraId="5C83923E" w14:textId="77777777" w:rsidR="0014205D" w:rsidRPr="002162CE" w:rsidRDefault="0014205D" w:rsidP="0014205D">
      <w:pPr>
        <w:pStyle w:val="Heading2"/>
      </w:pPr>
      <w:bookmarkStart w:id="0" w:name="_Toc529964165"/>
      <w:bookmarkStart w:id="1" w:name="_Toc25849473"/>
      <w:r w:rsidRPr="002162CE">
        <w:t>Appointment of proper officer</w:t>
      </w:r>
      <w:bookmarkEnd w:id="0"/>
      <w:bookmarkEnd w:id="1"/>
    </w:p>
    <w:p w14:paraId="5C83923F" w14:textId="7E46EE36" w:rsidR="004E0F29" w:rsidRPr="002162CE" w:rsidRDefault="006051AD" w:rsidP="006051AD">
      <w:pPr>
        <w:pStyle w:val="dNormParatext"/>
        <w:rPr>
          <w:lang w:bidi="en-GB"/>
        </w:rPr>
      </w:pPr>
      <w:r w:rsidRPr="006051AD">
        <w:rPr>
          <w:lang w:bidi="en-GB"/>
        </w:rPr>
        <w:t>Proper officers are designated by Council for the functions listed below as required by various statutory provisions. The Monitoring Officer has delegation to make amendments to Proper Officer designations to reflect changes to the senior management structure.</w:t>
      </w:r>
    </w:p>
    <w:p w14:paraId="5C839240" w14:textId="77777777" w:rsidR="0014205D" w:rsidRPr="002162CE" w:rsidRDefault="0014205D" w:rsidP="0014205D">
      <w:pPr>
        <w:pStyle w:val="Heading2"/>
      </w:pPr>
      <w:bookmarkStart w:id="2" w:name="_Toc529964166"/>
      <w:bookmarkStart w:id="3" w:name="_Toc25849474"/>
      <w:r w:rsidRPr="0014205D">
        <w:t>Responsibilities and proper officers</w:t>
      </w:r>
      <w:bookmarkEnd w:id="2"/>
      <w:bookmarkEnd w:id="3"/>
    </w:p>
    <w:p w14:paraId="5C839241" w14:textId="77777777" w:rsidR="004A5247" w:rsidRDefault="0014205D" w:rsidP="002162CE">
      <w:pPr>
        <w:pStyle w:val="dNormParatext"/>
      </w:pPr>
      <w:r w:rsidRPr="0014205D">
        <w:t>“</w:t>
      </w:r>
      <w:r w:rsidRPr="002162CE">
        <w:t>Proper Officer” means the officer designated below by the Council for the purpose of this Scheme or in the absence of such designation, the Chief Executive.</w:t>
      </w:r>
    </w:p>
    <w:p w14:paraId="5C839242" w14:textId="77777777" w:rsidR="004A5247" w:rsidRDefault="004A5247" w:rsidP="002162CE">
      <w:pPr>
        <w:pStyle w:val="dNormParatext"/>
      </w:pPr>
      <w:r w:rsidRPr="002162CE">
        <w:t xml:space="preserve">Legislation in the following table includes any amendments, </w:t>
      </w:r>
      <w:proofErr w:type="gramStart"/>
      <w:r w:rsidRPr="002162CE">
        <w:t>re-enactments</w:t>
      </w:r>
      <w:proofErr w:type="gramEnd"/>
      <w:r w:rsidRPr="002162CE">
        <w:t xml:space="preserve"> and subordinate legislation.</w:t>
      </w:r>
    </w:p>
    <w:p w14:paraId="5C839243" w14:textId="77777777" w:rsidR="0014205D" w:rsidRDefault="0014205D" w:rsidP="006B5982">
      <w:pPr>
        <w:rPr>
          <w:color w:val="auto"/>
          <w:lang w:eastAsia="en-US"/>
        </w:rPr>
      </w:pPr>
    </w:p>
    <w:p w14:paraId="5C839244" w14:textId="77777777" w:rsidR="006B5982" w:rsidRPr="006B5982" w:rsidRDefault="006B5982" w:rsidP="006B5982">
      <w:pPr>
        <w:pStyle w:val="Caption"/>
      </w:pPr>
      <w:r w:rsidRPr="006B5982">
        <w:t>Table of proper officer’s responsibilities</w:t>
      </w:r>
    </w:p>
    <w:p w14:paraId="5C839245" w14:textId="77777777" w:rsidR="006B5982" w:rsidRPr="006B5982" w:rsidRDefault="006B5982" w:rsidP="006B5982"/>
    <w:tbl>
      <w:tblPr>
        <w:tblStyle w:val="TableList3"/>
        <w:tblW w:w="8928" w:type="dxa"/>
        <w:tblInd w:w="652" w:type="dxa"/>
        <w:tblLayout w:type="fixed"/>
        <w:tblLook w:val="04A0" w:firstRow="1" w:lastRow="0" w:firstColumn="1" w:lastColumn="0" w:noHBand="0" w:noVBand="1"/>
        <w:tblCaption w:val="Table showing the responsibilities of Proper Officers"/>
        <w:tblDescription w:val="List of Acts of Parliament, relevant sections and responsibilities, and officers authorised to take action under these Acts."/>
      </w:tblPr>
      <w:tblGrid>
        <w:gridCol w:w="2093"/>
        <w:gridCol w:w="1483"/>
        <w:gridCol w:w="3053"/>
        <w:gridCol w:w="2299"/>
      </w:tblGrid>
      <w:tr w:rsidR="0014205D" w:rsidRPr="0014205D" w14:paraId="5C83924A" w14:textId="77777777" w:rsidTr="006B5982">
        <w:trPr>
          <w:cnfStyle w:val="100000000000" w:firstRow="1" w:lastRow="0" w:firstColumn="0" w:lastColumn="0" w:oddVBand="0" w:evenVBand="0" w:oddHBand="0" w:evenHBand="0" w:firstRowFirstColumn="0" w:firstRowLastColumn="0" w:lastRowFirstColumn="0" w:lastRowLastColumn="0"/>
          <w:tblHeader/>
        </w:trPr>
        <w:tc>
          <w:tcPr>
            <w:tcW w:w="2093" w:type="dxa"/>
            <w:tcBorders>
              <w:bottom w:val="double" w:sz="4" w:space="0" w:color="auto"/>
            </w:tcBorders>
            <w:shd w:val="clear" w:color="auto" w:fill="FFFFFF" w:themeFill="background1"/>
          </w:tcPr>
          <w:p w14:paraId="5C839246" w14:textId="77777777" w:rsidR="0014205D" w:rsidRPr="0014205D" w:rsidRDefault="0014205D" w:rsidP="004A5247">
            <w:pPr>
              <w:spacing w:before="60" w:after="60"/>
              <w:rPr>
                <w:rFonts w:cs="Arial"/>
                <w:b w:val="0"/>
                <w:color w:val="auto"/>
              </w:rPr>
            </w:pPr>
            <w:r w:rsidRPr="0014205D">
              <w:rPr>
                <w:rFonts w:cs="Arial"/>
                <w:color w:val="auto"/>
              </w:rPr>
              <w:t>Legislation</w:t>
            </w:r>
          </w:p>
        </w:tc>
        <w:tc>
          <w:tcPr>
            <w:tcW w:w="1483" w:type="dxa"/>
            <w:tcBorders>
              <w:bottom w:val="double" w:sz="4" w:space="0" w:color="auto"/>
            </w:tcBorders>
            <w:shd w:val="clear" w:color="auto" w:fill="FFFFFF" w:themeFill="background1"/>
          </w:tcPr>
          <w:p w14:paraId="5C839247" w14:textId="77777777" w:rsidR="0014205D" w:rsidRPr="0014205D" w:rsidRDefault="0014205D" w:rsidP="004A5247">
            <w:pPr>
              <w:spacing w:before="60" w:after="60"/>
              <w:rPr>
                <w:rFonts w:cs="Arial"/>
                <w:b w:val="0"/>
                <w:color w:val="auto"/>
              </w:rPr>
            </w:pPr>
          </w:p>
        </w:tc>
        <w:tc>
          <w:tcPr>
            <w:tcW w:w="3053" w:type="dxa"/>
            <w:tcBorders>
              <w:bottom w:val="double" w:sz="4" w:space="0" w:color="auto"/>
            </w:tcBorders>
            <w:shd w:val="clear" w:color="auto" w:fill="FFFFFF" w:themeFill="background1"/>
          </w:tcPr>
          <w:p w14:paraId="5C839248" w14:textId="77777777" w:rsidR="0014205D" w:rsidRPr="0014205D" w:rsidRDefault="0014205D" w:rsidP="004A5247">
            <w:pPr>
              <w:spacing w:before="60" w:after="60"/>
              <w:rPr>
                <w:rFonts w:cs="Arial"/>
                <w:b w:val="0"/>
                <w:color w:val="auto"/>
              </w:rPr>
            </w:pPr>
            <w:r w:rsidRPr="0014205D">
              <w:rPr>
                <w:rFonts w:cs="Arial"/>
                <w:color w:val="auto"/>
              </w:rPr>
              <w:t>Responsibility</w:t>
            </w:r>
          </w:p>
        </w:tc>
        <w:tc>
          <w:tcPr>
            <w:tcW w:w="2299" w:type="dxa"/>
            <w:tcBorders>
              <w:bottom w:val="double" w:sz="4" w:space="0" w:color="auto"/>
            </w:tcBorders>
            <w:shd w:val="clear" w:color="auto" w:fill="FFFFFF" w:themeFill="background1"/>
          </w:tcPr>
          <w:p w14:paraId="5C839249" w14:textId="77777777" w:rsidR="0014205D" w:rsidRPr="0014205D" w:rsidRDefault="0014205D" w:rsidP="004A5247">
            <w:pPr>
              <w:spacing w:before="60" w:after="60"/>
              <w:rPr>
                <w:rFonts w:cs="Arial"/>
                <w:b w:val="0"/>
                <w:color w:val="auto"/>
              </w:rPr>
            </w:pPr>
            <w:r w:rsidRPr="0014205D">
              <w:rPr>
                <w:rFonts w:cs="Arial"/>
                <w:color w:val="auto"/>
              </w:rPr>
              <w:t>Proper officer</w:t>
            </w:r>
          </w:p>
        </w:tc>
      </w:tr>
      <w:tr w:rsidR="0014205D" w:rsidRPr="0014205D" w14:paraId="5C83924F" w14:textId="77777777" w:rsidTr="006B5982">
        <w:tc>
          <w:tcPr>
            <w:tcW w:w="2093" w:type="dxa"/>
            <w:tcBorders>
              <w:top w:val="double" w:sz="4" w:space="0" w:color="auto"/>
            </w:tcBorders>
          </w:tcPr>
          <w:p w14:paraId="5C83924B" w14:textId="77777777" w:rsidR="0014205D" w:rsidRPr="0014205D" w:rsidRDefault="0014205D" w:rsidP="004A5247">
            <w:pPr>
              <w:spacing w:before="60"/>
              <w:rPr>
                <w:rFonts w:cs="Arial"/>
                <w:color w:val="auto"/>
              </w:rPr>
            </w:pPr>
            <w:r w:rsidRPr="0014205D">
              <w:rPr>
                <w:rFonts w:cs="Arial"/>
                <w:color w:val="auto"/>
              </w:rPr>
              <w:t>Public Health Act 1936</w:t>
            </w:r>
          </w:p>
        </w:tc>
        <w:tc>
          <w:tcPr>
            <w:tcW w:w="1483" w:type="dxa"/>
            <w:tcBorders>
              <w:top w:val="double" w:sz="4" w:space="0" w:color="auto"/>
            </w:tcBorders>
          </w:tcPr>
          <w:p w14:paraId="5C83924C" w14:textId="77777777" w:rsidR="0014205D" w:rsidRPr="0014205D" w:rsidRDefault="0014205D" w:rsidP="004A5247">
            <w:pPr>
              <w:spacing w:before="60"/>
              <w:rPr>
                <w:rFonts w:cs="Arial"/>
                <w:color w:val="auto"/>
              </w:rPr>
            </w:pPr>
            <w:r w:rsidRPr="0014205D">
              <w:rPr>
                <w:rFonts w:cs="Arial"/>
                <w:color w:val="auto"/>
              </w:rPr>
              <w:t>Section 85(2)</w:t>
            </w:r>
          </w:p>
        </w:tc>
        <w:tc>
          <w:tcPr>
            <w:tcW w:w="3053" w:type="dxa"/>
            <w:tcBorders>
              <w:top w:val="double" w:sz="4" w:space="0" w:color="auto"/>
            </w:tcBorders>
          </w:tcPr>
          <w:p w14:paraId="5C83924D" w14:textId="77777777" w:rsidR="0014205D" w:rsidRPr="0014205D" w:rsidRDefault="0014205D" w:rsidP="004A5247">
            <w:pPr>
              <w:spacing w:before="60"/>
              <w:ind w:left="33"/>
              <w:rPr>
                <w:rFonts w:cs="Arial"/>
                <w:color w:val="auto"/>
              </w:rPr>
            </w:pPr>
            <w:r w:rsidRPr="0014205D">
              <w:rPr>
                <w:rFonts w:cs="Arial"/>
                <w:color w:val="auto"/>
              </w:rPr>
              <w:t>Serving a notice requiring action to deal with verminous people or things</w:t>
            </w:r>
          </w:p>
        </w:tc>
        <w:tc>
          <w:tcPr>
            <w:tcW w:w="2299" w:type="dxa"/>
            <w:tcBorders>
              <w:top w:val="double" w:sz="4" w:space="0" w:color="auto"/>
            </w:tcBorders>
          </w:tcPr>
          <w:p w14:paraId="5C83924E" w14:textId="142475D3" w:rsidR="0014205D" w:rsidRPr="0014205D" w:rsidRDefault="00D3348C" w:rsidP="004A5247">
            <w:pPr>
              <w:spacing w:before="60"/>
              <w:rPr>
                <w:rFonts w:cs="Arial"/>
                <w:color w:val="auto"/>
              </w:rPr>
            </w:pPr>
            <w:r w:rsidRPr="00D3348C">
              <w:rPr>
                <w:rFonts w:cs="Arial"/>
                <w:color w:val="auto"/>
              </w:rPr>
              <w:t>Head of Planning and Regulatory Services</w:t>
            </w:r>
          </w:p>
        </w:tc>
      </w:tr>
      <w:tr w:rsidR="0014205D" w:rsidRPr="0014205D" w14:paraId="5C839254" w14:textId="77777777" w:rsidTr="00B61E2B">
        <w:trPr>
          <w:trHeight w:val="1020"/>
        </w:trPr>
        <w:tc>
          <w:tcPr>
            <w:tcW w:w="2093" w:type="dxa"/>
          </w:tcPr>
          <w:p w14:paraId="5C839250" w14:textId="77777777" w:rsidR="0014205D" w:rsidRPr="0014205D" w:rsidRDefault="0014205D" w:rsidP="004A5247">
            <w:pPr>
              <w:spacing w:before="60"/>
              <w:rPr>
                <w:rFonts w:cs="Arial"/>
                <w:color w:val="auto"/>
              </w:rPr>
            </w:pPr>
            <w:r w:rsidRPr="0014205D">
              <w:rPr>
                <w:rFonts w:cs="Arial"/>
                <w:color w:val="auto"/>
              </w:rPr>
              <w:t>Public Health Act 1961</w:t>
            </w:r>
          </w:p>
        </w:tc>
        <w:tc>
          <w:tcPr>
            <w:tcW w:w="1483" w:type="dxa"/>
          </w:tcPr>
          <w:p w14:paraId="5C839251" w14:textId="77777777" w:rsidR="0014205D" w:rsidRPr="0014205D" w:rsidRDefault="0014205D" w:rsidP="004A5247">
            <w:pPr>
              <w:spacing w:before="60"/>
              <w:rPr>
                <w:rFonts w:cs="Arial"/>
                <w:color w:val="auto"/>
              </w:rPr>
            </w:pPr>
            <w:r w:rsidRPr="0014205D">
              <w:rPr>
                <w:rFonts w:cs="Arial"/>
                <w:color w:val="auto"/>
              </w:rPr>
              <w:t>Section 37</w:t>
            </w:r>
          </w:p>
        </w:tc>
        <w:tc>
          <w:tcPr>
            <w:tcW w:w="3053" w:type="dxa"/>
          </w:tcPr>
          <w:p w14:paraId="5C839252" w14:textId="77777777" w:rsidR="0014205D" w:rsidRPr="0014205D" w:rsidRDefault="0014205D" w:rsidP="004A5247">
            <w:pPr>
              <w:spacing w:before="60"/>
              <w:rPr>
                <w:rFonts w:cs="Arial"/>
                <w:color w:val="auto"/>
              </w:rPr>
            </w:pPr>
            <w:r w:rsidRPr="0014205D">
              <w:rPr>
                <w:rFonts w:cs="Arial"/>
                <w:color w:val="auto"/>
              </w:rPr>
              <w:t>Controlling verminous things</w:t>
            </w:r>
          </w:p>
        </w:tc>
        <w:tc>
          <w:tcPr>
            <w:tcW w:w="2299" w:type="dxa"/>
          </w:tcPr>
          <w:p w14:paraId="5C839253" w14:textId="48ABDEAF" w:rsidR="0014205D" w:rsidRPr="0014205D" w:rsidRDefault="00D3348C" w:rsidP="004A5247">
            <w:pPr>
              <w:spacing w:before="60"/>
              <w:rPr>
                <w:rFonts w:cs="Arial"/>
                <w:color w:val="auto"/>
              </w:rPr>
            </w:pPr>
            <w:r w:rsidRPr="00D3348C">
              <w:rPr>
                <w:rFonts w:cs="Arial"/>
                <w:color w:val="auto"/>
              </w:rPr>
              <w:t>Head of Planning and Regulatory Services</w:t>
            </w:r>
          </w:p>
        </w:tc>
      </w:tr>
      <w:tr w:rsidR="004E0F29" w:rsidRPr="0014205D" w14:paraId="5C839259" w14:textId="77777777" w:rsidTr="00B61E2B">
        <w:trPr>
          <w:trHeight w:val="1020"/>
        </w:trPr>
        <w:tc>
          <w:tcPr>
            <w:tcW w:w="2093" w:type="dxa"/>
            <w:vMerge w:val="restart"/>
          </w:tcPr>
          <w:p w14:paraId="5C839255" w14:textId="77777777" w:rsidR="004E0F29" w:rsidRPr="0014205D" w:rsidRDefault="004E0F29" w:rsidP="004A5247">
            <w:pPr>
              <w:spacing w:before="60" w:after="60"/>
              <w:rPr>
                <w:rFonts w:cs="Arial"/>
                <w:color w:val="auto"/>
              </w:rPr>
            </w:pPr>
            <w:r w:rsidRPr="0014205D">
              <w:rPr>
                <w:rFonts w:cs="Arial"/>
                <w:color w:val="auto"/>
              </w:rPr>
              <w:t>Local Government Act 1972</w:t>
            </w:r>
          </w:p>
        </w:tc>
        <w:tc>
          <w:tcPr>
            <w:tcW w:w="1483" w:type="dxa"/>
          </w:tcPr>
          <w:p w14:paraId="5C839256" w14:textId="77777777" w:rsidR="004E0F29" w:rsidRPr="0014205D" w:rsidRDefault="004E0F29" w:rsidP="004A5247">
            <w:pPr>
              <w:spacing w:before="60" w:after="60"/>
              <w:rPr>
                <w:rFonts w:cs="Arial"/>
                <w:color w:val="auto"/>
              </w:rPr>
            </w:pPr>
            <w:r w:rsidRPr="0014205D">
              <w:rPr>
                <w:rFonts w:cs="Arial"/>
                <w:color w:val="auto"/>
              </w:rPr>
              <w:t>Section 83(1) to (4)</w:t>
            </w:r>
          </w:p>
        </w:tc>
        <w:tc>
          <w:tcPr>
            <w:tcW w:w="3053" w:type="dxa"/>
          </w:tcPr>
          <w:p w14:paraId="5C839257" w14:textId="77777777" w:rsidR="004E0F29" w:rsidRPr="0014205D" w:rsidRDefault="004E0F29" w:rsidP="004A5247">
            <w:pPr>
              <w:spacing w:before="60" w:after="60"/>
              <w:ind w:left="28"/>
              <w:rPr>
                <w:rFonts w:cs="Arial"/>
                <w:color w:val="auto"/>
              </w:rPr>
            </w:pPr>
            <w:r w:rsidRPr="0014205D">
              <w:rPr>
                <w:rFonts w:cs="Arial"/>
                <w:color w:val="auto"/>
              </w:rPr>
              <w:t>Witnessing and receiving declarations of acceptance of office</w:t>
            </w:r>
          </w:p>
        </w:tc>
        <w:tc>
          <w:tcPr>
            <w:tcW w:w="2299" w:type="dxa"/>
          </w:tcPr>
          <w:p w14:paraId="5C839258" w14:textId="77777777" w:rsidR="004E0F29" w:rsidRPr="0014205D" w:rsidRDefault="004E0F29" w:rsidP="004A5247">
            <w:pPr>
              <w:spacing w:before="60" w:after="60"/>
              <w:rPr>
                <w:rFonts w:cs="Arial"/>
                <w:color w:val="auto"/>
              </w:rPr>
            </w:pPr>
            <w:r w:rsidRPr="0014205D">
              <w:rPr>
                <w:rFonts w:cs="Arial"/>
                <w:color w:val="auto"/>
              </w:rPr>
              <w:t>Chief Executive</w:t>
            </w:r>
          </w:p>
        </w:tc>
      </w:tr>
      <w:tr w:rsidR="004E0F29" w:rsidRPr="0014205D" w14:paraId="5C83925E" w14:textId="77777777" w:rsidTr="00B61E2B">
        <w:trPr>
          <w:trHeight w:val="1020"/>
        </w:trPr>
        <w:tc>
          <w:tcPr>
            <w:tcW w:w="2093" w:type="dxa"/>
            <w:vMerge/>
          </w:tcPr>
          <w:p w14:paraId="5C83925A" w14:textId="77777777" w:rsidR="004E0F29" w:rsidRPr="0014205D" w:rsidRDefault="004E0F29" w:rsidP="004A5247">
            <w:pPr>
              <w:spacing w:before="60" w:after="60"/>
              <w:rPr>
                <w:rFonts w:cs="Arial"/>
                <w:color w:val="auto"/>
              </w:rPr>
            </w:pPr>
          </w:p>
        </w:tc>
        <w:tc>
          <w:tcPr>
            <w:tcW w:w="1483" w:type="dxa"/>
          </w:tcPr>
          <w:p w14:paraId="5C83925B" w14:textId="77777777" w:rsidR="004E0F29" w:rsidRPr="0014205D" w:rsidRDefault="004E0F29" w:rsidP="004A5247">
            <w:pPr>
              <w:spacing w:before="60" w:after="60"/>
              <w:rPr>
                <w:rFonts w:cs="Arial"/>
                <w:color w:val="auto"/>
              </w:rPr>
            </w:pPr>
            <w:r w:rsidRPr="0014205D">
              <w:rPr>
                <w:rFonts w:cs="Arial"/>
                <w:color w:val="auto"/>
              </w:rPr>
              <w:t>Section 84(1)</w:t>
            </w:r>
          </w:p>
        </w:tc>
        <w:tc>
          <w:tcPr>
            <w:tcW w:w="3053" w:type="dxa"/>
          </w:tcPr>
          <w:p w14:paraId="5C83925C" w14:textId="77777777" w:rsidR="004E0F29" w:rsidRPr="0014205D" w:rsidRDefault="004E0F29" w:rsidP="004A5247">
            <w:pPr>
              <w:spacing w:before="60" w:after="60"/>
              <w:ind w:left="28"/>
              <w:rPr>
                <w:rFonts w:cs="Arial"/>
                <w:color w:val="auto"/>
              </w:rPr>
            </w:pPr>
            <w:r w:rsidRPr="0014205D">
              <w:rPr>
                <w:rFonts w:cs="Arial"/>
                <w:color w:val="auto"/>
              </w:rPr>
              <w:t>Receiving a Councillor’s resignation</w:t>
            </w:r>
          </w:p>
        </w:tc>
        <w:tc>
          <w:tcPr>
            <w:tcW w:w="2299" w:type="dxa"/>
          </w:tcPr>
          <w:p w14:paraId="5C83925D" w14:textId="77777777" w:rsidR="004E0F29" w:rsidRPr="0014205D" w:rsidRDefault="004E0F29" w:rsidP="004A5247">
            <w:pPr>
              <w:spacing w:before="60" w:after="60"/>
              <w:rPr>
                <w:rFonts w:cs="Arial"/>
                <w:color w:val="auto"/>
              </w:rPr>
            </w:pPr>
            <w:r w:rsidRPr="0014205D">
              <w:rPr>
                <w:rFonts w:cs="Arial"/>
                <w:color w:val="auto"/>
              </w:rPr>
              <w:t>Chief Executive</w:t>
            </w:r>
          </w:p>
        </w:tc>
      </w:tr>
      <w:tr w:rsidR="004E0F29" w:rsidRPr="0014205D" w14:paraId="5C839263" w14:textId="77777777" w:rsidTr="00B61E2B">
        <w:trPr>
          <w:trHeight w:val="1020"/>
        </w:trPr>
        <w:tc>
          <w:tcPr>
            <w:tcW w:w="2093" w:type="dxa"/>
            <w:vMerge/>
          </w:tcPr>
          <w:p w14:paraId="5C83925F" w14:textId="77777777" w:rsidR="004E0F29" w:rsidRPr="0014205D" w:rsidRDefault="004E0F29" w:rsidP="004A5247">
            <w:pPr>
              <w:spacing w:before="60" w:after="60"/>
              <w:rPr>
                <w:rFonts w:cs="Arial"/>
                <w:color w:val="auto"/>
              </w:rPr>
            </w:pPr>
          </w:p>
        </w:tc>
        <w:tc>
          <w:tcPr>
            <w:tcW w:w="1483" w:type="dxa"/>
          </w:tcPr>
          <w:p w14:paraId="5C839260" w14:textId="77777777" w:rsidR="004E0F29" w:rsidRPr="0014205D" w:rsidRDefault="004E0F29" w:rsidP="004A5247">
            <w:pPr>
              <w:spacing w:before="60" w:after="60"/>
              <w:rPr>
                <w:rFonts w:cs="Arial"/>
                <w:color w:val="auto"/>
              </w:rPr>
            </w:pPr>
            <w:r w:rsidRPr="0014205D">
              <w:rPr>
                <w:rFonts w:cs="Arial"/>
                <w:color w:val="auto"/>
              </w:rPr>
              <w:t>Section 88(2)</w:t>
            </w:r>
          </w:p>
        </w:tc>
        <w:tc>
          <w:tcPr>
            <w:tcW w:w="3053" w:type="dxa"/>
          </w:tcPr>
          <w:p w14:paraId="5C839261" w14:textId="77777777" w:rsidR="004E0F29" w:rsidRPr="0014205D" w:rsidRDefault="004E0F29" w:rsidP="004A5247">
            <w:pPr>
              <w:spacing w:before="60" w:after="60"/>
              <w:ind w:left="28"/>
              <w:rPr>
                <w:rFonts w:cs="Arial"/>
                <w:color w:val="auto"/>
              </w:rPr>
            </w:pPr>
            <w:r w:rsidRPr="0014205D">
              <w:rPr>
                <w:rFonts w:cs="Arial"/>
                <w:color w:val="auto"/>
              </w:rPr>
              <w:t>Calling a Council meeting to elect a chair if there is a casual vacancy</w:t>
            </w:r>
          </w:p>
        </w:tc>
        <w:tc>
          <w:tcPr>
            <w:tcW w:w="2299" w:type="dxa"/>
          </w:tcPr>
          <w:p w14:paraId="5C839262" w14:textId="77777777" w:rsidR="004E0F29" w:rsidRPr="0014205D" w:rsidRDefault="006B5982" w:rsidP="006B5982">
            <w:pPr>
              <w:tabs>
                <w:tab w:val="right" w:pos="2095"/>
              </w:tabs>
              <w:spacing w:before="60" w:after="60"/>
              <w:rPr>
                <w:rFonts w:cs="Arial"/>
                <w:color w:val="auto"/>
              </w:rPr>
            </w:pPr>
            <w:r>
              <w:rPr>
                <w:rFonts w:cs="Arial"/>
                <w:color w:val="auto"/>
              </w:rPr>
              <w:t>Chief Executive</w:t>
            </w:r>
          </w:p>
        </w:tc>
      </w:tr>
      <w:tr w:rsidR="004E0F29" w:rsidRPr="0014205D" w14:paraId="5C839268" w14:textId="77777777" w:rsidTr="00B61E2B">
        <w:trPr>
          <w:trHeight w:val="1020"/>
        </w:trPr>
        <w:tc>
          <w:tcPr>
            <w:tcW w:w="2093" w:type="dxa"/>
            <w:vMerge/>
          </w:tcPr>
          <w:p w14:paraId="5C839264" w14:textId="77777777" w:rsidR="004E0F29" w:rsidRPr="0014205D" w:rsidRDefault="004E0F29" w:rsidP="004A5247">
            <w:pPr>
              <w:spacing w:before="60" w:after="60"/>
              <w:rPr>
                <w:rFonts w:cs="Arial"/>
                <w:color w:val="auto"/>
              </w:rPr>
            </w:pPr>
          </w:p>
        </w:tc>
        <w:tc>
          <w:tcPr>
            <w:tcW w:w="1483" w:type="dxa"/>
          </w:tcPr>
          <w:p w14:paraId="5C839265" w14:textId="77777777" w:rsidR="004E0F29" w:rsidRPr="0014205D" w:rsidRDefault="004E0F29" w:rsidP="004A5247">
            <w:pPr>
              <w:spacing w:before="60" w:after="60"/>
              <w:rPr>
                <w:rFonts w:cs="Arial"/>
                <w:color w:val="auto"/>
              </w:rPr>
            </w:pPr>
            <w:r w:rsidRPr="0014205D">
              <w:rPr>
                <w:rFonts w:cs="Arial"/>
                <w:color w:val="auto"/>
              </w:rPr>
              <w:t xml:space="preserve">Section 89(1) </w:t>
            </w:r>
          </w:p>
        </w:tc>
        <w:tc>
          <w:tcPr>
            <w:tcW w:w="3053" w:type="dxa"/>
          </w:tcPr>
          <w:p w14:paraId="5C839266" w14:textId="77777777" w:rsidR="004E0F29" w:rsidRPr="0014205D" w:rsidRDefault="006B5982" w:rsidP="006B5982">
            <w:pPr>
              <w:spacing w:before="60" w:after="60"/>
              <w:ind w:left="28"/>
              <w:rPr>
                <w:rFonts w:cs="Arial"/>
                <w:color w:val="auto"/>
              </w:rPr>
            </w:pPr>
            <w:r>
              <w:rPr>
                <w:rFonts w:cs="Arial"/>
                <w:color w:val="auto"/>
              </w:rPr>
              <w:t>Receipt of n</w:t>
            </w:r>
            <w:r w:rsidR="004E0F29" w:rsidRPr="0014205D">
              <w:rPr>
                <w:rFonts w:cs="Arial"/>
                <w:color w:val="auto"/>
              </w:rPr>
              <w:t>otice of a casual vacancy</w:t>
            </w:r>
          </w:p>
        </w:tc>
        <w:tc>
          <w:tcPr>
            <w:tcW w:w="2299" w:type="dxa"/>
          </w:tcPr>
          <w:p w14:paraId="5C839267" w14:textId="77777777" w:rsidR="004E0F29" w:rsidRPr="0014205D" w:rsidRDefault="004E0F29" w:rsidP="004A5247">
            <w:pPr>
              <w:tabs>
                <w:tab w:val="right" w:pos="2095"/>
              </w:tabs>
              <w:spacing w:before="60" w:after="60"/>
              <w:rPr>
                <w:rFonts w:cs="Arial"/>
                <w:color w:val="auto"/>
              </w:rPr>
            </w:pPr>
            <w:r w:rsidRPr="0014205D">
              <w:rPr>
                <w:rFonts w:cs="Arial"/>
                <w:color w:val="auto"/>
              </w:rPr>
              <w:t>Chief Executive</w:t>
            </w:r>
          </w:p>
        </w:tc>
      </w:tr>
      <w:tr w:rsidR="004E0F29" w:rsidRPr="0014205D" w14:paraId="5C83926D" w14:textId="77777777" w:rsidTr="00B61E2B">
        <w:trPr>
          <w:trHeight w:val="1020"/>
        </w:trPr>
        <w:tc>
          <w:tcPr>
            <w:tcW w:w="2093" w:type="dxa"/>
            <w:vMerge/>
          </w:tcPr>
          <w:p w14:paraId="5C839269" w14:textId="77777777" w:rsidR="004E0F29" w:rsidRPr="0014205D" w:rsidRDefault="004E0F29" w:rsidP="004A5247">
            <w:pPr>
              <w:spacing w:before="60" w:after="60"/>
              <w:rPr>
                <w:rFonts w:cs="Arial"/>
                <w:color w:val="auto"/>
              </w:rPr>
            </w:pPr>
          </w:p>
        </w:tc>
        <w:tc>
          <w:tcPr>
            <w:tcW w:w="1483" w:type="dxa"/>
          </w:tcPr>
          <w:p w14:paraId="5C83926A" w14:textId="77777777" w:rsidR="004E0F29" w:rsidRPr="0014205D" w:rsidRDefault="004E0F29" w:rsidP="004A5247">
            <w:pPr>
              <w:spacing w:before="60" w:after="60"/>
              <w:rPr>
                <w:rFonts w:cs="Arial"/>
                <w:color w:val="auto"/>
              </w:rPr>
            </w:pPr>
            <w:r w:rsidRPr="0014205D">
              <w:rPr>
                <w:rFonts w:cs="Arial"/>
                <w:color w:val="auto"/>
              </w:rPr>
              <w:t>Section 100 except 100D</w:t>
            </w:r>
          </w:p>
        </w:tc>
        <w:tc>
          <w:tcPr>
            <w:tcW w:w="3053" w:type="dxa"/>
          </w:tcPr>
          <w:p w14:paraId="5C83926B" w14:textId="77777777" w:rsidR="004E0F29" w:rsidRPr="0014205D" w:rsidRDefault="004E0F29" w:rsidP="006B5982">
            <w:pPr>
              <w:spacing w:before="60" w:after="60"/>
              <w:rPr>
                <w:rFonts w:cs="Arial"/>
                <w:color w:val="auto"/>
              </w:rPr>
            </w:pPr>
            <w:r w:rsidRPr="0014205D">
              <w:rPr>
                <w:rFonts w:cs="Arial"/>
                <w:color w:val="auto"/>
              </w:rPr>
              <w:t>Access to meetings and documents</w:t>
            </w:r>
          </w:p>
        </w:tc>
        <w:tc>
          <w:tcPr>
            <w:tcW w:w="2299" w:type="dxa"/>
          </w:tcPr>
          <w:p w14:paraId="5C83926C" w14:textId="77777777" w:rsidR="004E0F29" w:rsidRPr="0014205D" w:rsidRDefault="004E0F29" w:rsidP="006B5982">
            <w:pPr>
              <w:spacing w:before="60" w:after="60"/>
              <w:ind w:left="15"/>
              <w:rPr>
                <w:rFonts w:cs="Arial"/>
                <w:color w:val="auto"/>
              </w:rPr>
            </w:pPr>
            <w:r w:rsidRPr="0014205D">
              <w:rPr>
                <w:rFonts w:cs="Arial"/>
                <w:color w:val="auto"/>
              </w:rPr>
              <w:t>Head of Law and Governance</w:t>
            </w:r>
          </w:p>
        </w:tc>
      </w:tr>
      <w:tr w:rsidR="004E0F29" w:rsidRPr="0014205D" w14:paraId="5C839272" w14:textId="77777777" w:rsidTr="00B61E2B">
        <w:trPr>
          <w:trHeight w:val="1020"/>
        </w:trPr>
        <w:tc>
          <w:tcPr>
            <w:tcW w:w="2093" w:type="dxa"/>
            <w:vMerge/>
          </w:tcPr>
          <w:p w14:paraId="5C83926E" w14:textId="77777777" w:rsidR="004E0F29" w:rsidRPr="0014205D" w:rsidRDefault="004E0F29" w:rsidP="004A5247">
            <w:pPr>
              <w:spacing w:before="60" w:after="60"/>
              <w:rPr>
                <w:rFonts w:cs="Arial"/>
                <w:color w:val="auto"/>
              </w:rPr>
            </w:pPr>
          </w:p>
        </w:tc>
        <w:tc>
          <w:tcPr>
            <w:tcW w:w="1483" w:type="dxa"/>
          </w:tcPr>
          <w:p w14:paraId="5C83926F" w14:textId="77777777" w:rsidR="004E0F29" w:rsidRPr="0014205D" w:rsidRDefault="004E0F29" w:rsidP="004A5247">
            <w:pPr>
              <w:spacing w:before="60" w:after="60"/>
              <w:rPr>
                <w:rFonts w:cs="Arial"/>
                <w:color w:val="auto"/>
              </w:rPr>
            </w:pPr>
            <w:r w:rsidRPr="0014205D">
              <w:rPr>
                <w:rFonts w:cs="Arial"/>
                <w:color w:val="auto"/>
              </w:rPr>
              <w:t>Section 100D</w:t>
            </w:r>
          </w:p>
        </w:tc>
        <w:tc>
          <w:tcPr>
            <w:tcW w:w="3053" w:type="dxa"/>
          </w:tcPr>
          <w:p w14:paraId="5C839270" w14:textId="77777777" w:rsidR="004E0F29" w:rsidRPr="0014205D" w:rsidRDefault="004E0F29" w:rsidP="004A5247">
            <w:pPr>
              <w:spacing w:before="60" w:after="60"/>
              <w:rPr>
                <w:rFonts w:cs="Arial"/>
                <w:color w:val="auto"/>
              </w:rPr>
            </w:pPr>
            <w:r w:rsidRPr="0014205D">
              <w:rPr>
                <w:rFonts w:cs="Arial"/>
                <w:color w:val="auto"/>
              </w:rPr>
              <w:t xml:space="preserve">Listing background papers for reports and making copies available </w:t>
            </w:r>
          </w:p>
        </w:tc>
        <w:tc>
          <w:tcPr>
            <w:tcW w:w="2299" w:type="dxa"/>
          </w:tcPr>
          <w:p w14:paraId="5C839271" w14:textId="77777777" w:rsidR="004E0F29" w:rsidRPr="0014205D" w:rsidRDefault="004E0F29" w:rsidP="004A5247">
            <w:pPr>
              <w:spacing w:before="60" w:after="60"/>
              <w:rPr>
                <w:rFonts w:cs="Arial"/>
                <w:color w:val="auto"/>
              </w:rPr>
            </w:pPr>
            <w:r w:rsidRPr="0014205D">
              <w:rPr>
                <w:rFonts w:cs="Arial"/>
                <w:color w:val="auto"/>
              </w:rPr>
              <w:t>Each Head of Service for their service area reports</w:t>
            </w:r>
          </w:p>
        </w:tc>
      </w:tr>
      <w:tr w:rsidR="004E0F29" w:rsidRPr="0014205D" w14:paraId="5C839278" w14:textId="77777777" w:rsidTr="00B61E2B">
        <w:trPr>
          <w:trHeight w:val="1020"/>
        </w:trPr>
        <w:tc>
          <w:tcPr>
            <w:tcW w:w="2093" w:type="dxa"/>
            <w:vMerge/>
          </w:tcPr>
          <w:p w14:paraId="5C839273" w14:textId="77777777" w:rsidR="004E0F29" w:rsidRPr="0014205D" w:rsidRDefault="004E0F29" w:rsidP="004A5247">
            <w:pPr>
              <w:spacing w:before="60" w:after="60"/>
              <w:rPr>
                <w:rFonts w:cs="Arial"/>
                <w:color w:val="auto"/>
              </w:rPr>
            </w:pPr>
          </w:p>
        </w:tc>
        <w:tc>
          <w:tcPr>
            <w:tcW w:w="1483" w:type="dxa"/>
          </w:tcPr>
          <w:p w14:paraId="5C839274" w14:textId="77777777" w:rsidR="004E0F29" w:rsidRPr="0014205D" w:rsidRDefault="004E0F29" w:rsidP="004A5247">
            <w:pPr>
              <w:spacing w:before="60" w:after="60"/>
              <w:rPr>
                <w:rFonts w:cs="Arial"/>
                <w:color w:val="auto"/>
              </w:rPr>
            </w:pPr>
            <w:r w:rsidRPr="0043172B">
              <w:rPr>
                <w:rFonts w:cs="Arial"/>
                <w:color w:val="auto"/>
              </w:rPr>
              <w:t>Part VA</w:t>
            </w:r>
          </w:p>
        </w:tc>
        <w:tc>
          <w:tcPr>
            <w:tcW w:w="3053" w:type="dxa"/>
          </w:tcPr>
          <w:p w14:paraId="5C839275" w14:textId="77777777" w:rsidR="004E0F29" w:rsidRPr="0014205D" w:rsidRDefault="004E0F29" w:rsidP="004A5247">
            <w:pPr>
              <w:spacing w:before="60" w:after="60"/>
              <w:ind w:left="-14"/>
              <w:rPr>
                <w:rFonts w:cs="Arial"/>
                <w:color w:val="auto"/>
              </w:rPr>
            </w:pPr>
            <w:r w:rsidRPr="0014205D">
              <w:rPr>
                <w:rFonts w:cs="Arial"/>
                <w:color w:val="auto"/>
              </w:rPr>
              <w:t>Access to information</w:t>
            </w:r>
          </w:p>
          <w:p w14:paraId="5C839276" w14:textId="77777777" w:rsidR="004E0F29" w:rsidRPr="0014205D" w:rsidRDefault="004E0F29" w:rsidP="004A5247">
            <w:pPr>
              <w:spacing w:before="60" w:after="60"/>
              <w:rPr>
                <w:rFonts w:cs="Arial"/>
                <w:color w:val="auto"/>
              </w:rPr>
            </w:pPr>
          </w:p>
        </w:tc>
        <w:tc>
          <w:tcPr>
            <w:tcW w:w="2299" w:type="dxa"/>
          </w:tcPr>
          <w:p w14:paraId="5C839277" w14:textId="77777777" w:rsidR="004E0F29" w:rsidRPr="0014205D" w:rsidRDefault="004E0F29" w:rsidP="004A5247">
            <w:pPr>
              <w:spacing w:before="60" w:after="60"/>
              <w:rPr>
                <w:rFonts w:cs="Arial"/>
                <w:color w:val="auto"/>
              </w:rPr>
            </w:pPr>
            <w:r w:rsidRPr="0014205D">
              <w:rPr>
                <w:rFonts w:cs="Arial"/>
                <w:color w:val="auto"/>
              </w:rPr>
              <w:t>Head of Law and Governance</w:t>
            </w:r>
          </w:p>
        </w:tc>
      </w:tr>
      <w:tr w:rsidR="004E0F29" w:rsidRPr="0014205D" w14:paraId="5C83927D" w14:textId="77777777" w:rsidTr="00B61E2B">
        <w:trPr>
          <w:trHeight w:val="1020"/>
        </w:trPr>
        <w:tc>
          <w:tcPr>
            <w:tcW w:w="2093" w:type="dxa"/>
            <w:vMerge/>
          </w:tcPr>
          <w:p w14:paraId="5C839279" w14:textId="77777777" w:rsidR="004E0F29" w:rsidRPr="0014205D" w:rsidRDefault="004E0F29" w:rsidP="004A5247">
            <w:pPr>
              <w:spacing w:before="60" w:after="60"/>
              <w:rPr>
                <w:rFonts w:cs="Arial"/>
                <w:color w:val="auto"/>
              </w:rPr>
            </w:pPr>
          </w:p>
        </w:tc>
        <w:tc>
          <w:tcPr>
            <w:tcW w:w="1483" w:type="dxa"/>
          </w:tcPr>
          <w:p w14:paraId="5C83927A" w14:textId="77777777" w:rsidR="004E0F29" w:rsidRPr="0014205D" w:rsidRDefault="004E0F29" w:rsidP="004A5247">
            <w:pPr>
              <w:spacing w:before="60" w:after="60"/>
              <w:rPr>
                <w:rFonts w:cs="Arial"/>
                <w:color w:val="auto"/>
              </w:rPr>
            </w:pPr>
            <w:r w:rsidRPr="0014205D">
              <w:rPr>
                <w:rFonts w:cs="Arial"/>
                <w:color w:val="auto"/>
              </w:rPr>
              <w:t>Section 115(2)</w:t>
            </w:r>
          </w:p>
        </w:tc>
        <w:tc>
          <w:tcPr>
            <w:tcW w:w="3053" w:type="dxa"/>
          </w:tcPr>
          <w:p w14:paraId="5C83927B" w14:textId="77777777" w:rsidR="004E0F29" w:rsidRPr="0014205D" w:rsidRDefault="004E0F29" w:rsidP="004A5247">
            <w:pPr>
              <w:spacing w:before="60" w:after="60"/>
              <w:rPr>
                <w:rFonts w:cs="Arial"/>
                <w:color w:val="auto"/>
              </w:rPr>
            </w:pPr>
            <w:r w:rsidRPr="0014205D">
              <w:rPr>
                <w:rFonts w:cs="Arial"/>
                <w:color w:val="auto"/>
              </w:rPr>
              <w:t>Receiving money due from officers</w:t>
            </w:r>
          </w:p>
        </w:tc>
        <w:tc>
          <w:tcPr>
            <w:tcW w:w="2299" w:type="dxa"/>
          </w:tcPr>
          <w:p w14:paraId="5C83927C" w14:textId="77777777" w:rsidR="004E0F29" w:rsidRPr="0014205D" w:rsidRDefault="004E0F29" w:rsidP="004A5247">
            <w:pPr>
              <w:spacing w:before="60" w:after="60"/>
              <w:rPr>
                <w:rFonts w:cs="Arial"/>
                <w:color w:val="auto"/>
              </w:rPr>
            </w:pPr>
            <w:r w:rsidRPr="0014205D">
              <w:rPr>
                <w:rFonts w:cs="Arial"/>
                <w:color w:val="auto"/>
              </w:rPr>
              <w:t>Head of Financial Services</w:t>
            </w:r>
          </w:p>
        </w:tc>
      </w:tr>
      <w:tr w:rsidR="004E0F29" w:rsidRPr="0014205D" w14:paraId="5C839283" w14:textId="77777777" w:rsidTr="00B61E2B">
        <w:trPr>
          <w:trHeight w:val="1020"/>
        </w:trPr>
        <w:tc>
          <w:tcPr>
            <w:tcW w:w="2093" w:type="dxa"/>
            <w:vMerge/>
          </w:tcPr>
          <w:p w14:paraId="5C83927E" w14:textId="77777777" w:rsidR="004E0F29" w:rsidRPr="0014205D" w:rsidRDefault="004E0F29" w:rsidP="004A5247">
            <w:pPr>
              <w:spacing w:before="60" w:after="60"/>
              <w:rPr>
                <w:rFonts w:cs="Arial"/>
                <w:color w:val="auto"/>
              </w:rPr>
            </w:pPr>
          </w:p>
        </w:tc>
        <w:tc>
          <w:tcPr>
            <w:tcW w:w="1483" w:type="dxa"/>
          </w:tcPr>
          <w:p w14:paraId="5C83927F" w14:textId="77777777" w:rsidR="004E0F29" w:rsidRPr="0014205D" w:rsidRDefault="004E0F29" w:rsidP="004A5247">
            <w:pPr>
              <w:spacing w:before="60" w:after="60"/>
              <w:rPr>
                <w:rFonts w:cs="Arial"/>
                <w:color w:val="auto"/>
              </w:rPr>
            </w:pPr>
            <w:r w:rsidRPr="0014205D">
              <w:rPr>
                <w:rFonts w:cs="Arial"/>
                <w:color w:val="auto"/>
              </w:rPr>
              <w:t>Section 146(1) (a) and (b)</w:t>
            </w:r>
          </w:p>
          <w:p w14:paraId="5C839280" w14:textId="77777777" w:rsidR="004E0F29" w:rsidRPr="0014205D" w:rsidRDefault="004E0F29" w:rsidP="004A5247">
            <w:pPr>
              <w:spacing w:before="60" w:after="60"/>
              <w:rPr>
                <w:rFonts w:cs="Arial"/>
                <w:color w:val="auto"/>
              </w:rPr>
            </w:pPr>
          </w:p>
        </w:tc>
        <w:tc>
          <w:tcPr>
            <w:tcW w:w="3053" w:type="dxa"/>
          </w:tcPr>
          <w:p w14:paraId="5C839281" w14:textId="77777777" w:rsidR="004E0F29" w:rsidRPr="0014205D" w:rsidRDefault="004E0F29" w:rsidP="004A5247">
            <w:pPr>
              <w:spacing w:before="60" w:after="60"/>
              <w:rPr>
                <w:rFonts w:cs="Arial"/>
                <w:color w:val="auto"/>
              </w:rPr>
            </w:pPr>
            <w:r w:rsidRPr="0014205D">
              <w:rPr>
                <w:rFonts w:cs="Arial"/>
                <w:color w:val="auto"/>
              </w:rPr>
              <w:t>Making declarations and certificates about transferring securities on alteration of area</w:t>
            </w:r>
          </w:p>
        </w:tc>
        <w:tc>
          <w:tcPr>
            <w:tcW w:w="2299" w:type="dxa"/>
          </w:tcPr>
          <w:p w14:paraId="5C839282" w14:textId="77777777" w:rsidR="004E0F29" w:rsidRPr="0014205D" w:rsidRDefault="004E0F29" w:rsidP="004A5247">
            <w:pPr>
              <w:spacing w:before="60" w:after="60"/>
              <w:rPr>
                <w:rFonts w:cs="Arial"/>
                <w:color w:val="auto"/>
              </w:rPr>
            </w:pPr>
            <w:r w:rsidRPr="0014205D">
              <w:rPr>
                <w:rFonts w:cs="Arial"/>
                <w:color w:val="auto"/>
              </w:rPr>
              <w:t>Head of Financial Services</w:t>
            </w:r>
          </w:p>
        </w:tc>
      </w:tr>
      <w:tr w:rsidR="004E0F29" w:rsidRPr="0014205D" w14:paraId="5C839288" w14:textId="77777777" w:rsidTr="00B61E2B">
        <w:trPr>
          <w:trHeight w:val="1020"/>
        </w:trPr>
        <w:tc>
          <w:tcPr>
            <w:tcW w:w="2093" w:type="dxa"/>
            <w:vMerge/>
          </w:tcPr>
          <w:p w14:paraId="5C839284" w14:textId="77777777" w:rsidR="004E0F29" w:rsidRPr="0014205D" w:rsidRDefault="004E0F29" w:rsidP="004A5247">
            <w:pPr>
              <w:spacing w:before="60" w:after="60"/>
              <w:rPr>
                <w:rFonts w:cs="Arial"/>
                <w:color w:val="auto"/>
              </w:rPr>
            </w:pPr>
          </w:p>
        </w:tc>
        <w:tc>
          <w:tcPr>
            <w:tcW w:w="1483" w:type="dxa"/>
          </w:tcPr>
          <w:p w14:paraId="5C839285" w14:textId="77777777" w:rsidR="004E0F29" w:rsidRPr="0014205D" w:rsidRDefault="004E0F29" w:rsidP="004A5247">
            <w:pPr>
              <w:spacing w:before="60" w:after="60"/>
              <w:rPr>
                <w:rFonts w:cs="Arial"/>
                <w:color w:val="auto"/>
              </w:rPr>
            </w:pPr>
            <w:r w:rsidRPr="0014205D">
              <w:rPr>
                <w:rFonts w:cs="Arial"/>
                <w:color w:val="auto"/>
              </w:rPr>
              <w:t>Section 173-178</w:t>
            </w:r>
          </w:p>
        </w:tc>
        <w:tc>
          <w:tcPr>
            <w:tcW w:w="3053" w:type="dxa"/>
          </w:tcPr>
          <w:p w14:paraId="5C839286" w14:textId="77777777" w:rsidR="004E0F29" w:rsidRPr="0014205D" w:rsidRDefault="004E0F29" w:rsidP="004A5247">
            <w:pPr>
              <w:spacing w:before="60" w:after="60"/>
              <w:rPr>
                <w:rFonts w:cs="Arial"/>
                <w:color w:val="auto"/>
              </w:rPr>
            </w:pPr>
            <w:r w:rsidRPr="0014205D">
              <w:rPr>
                <w:rFonts w:cs="Arial"/>
                <w:color w:val="auto"/>
              </w:rPr>
              <w:t>Keeping records of councillors’ allowances</w:t>
            </w:r>
          </w:p>
        </w:tc>
        <w:tc>
          <w:tcPr>
            <w:tcW w:w="2299" w:type="dxa"/>
          </w:tcPr>
          <w:p w14:paraId="5C839287" w14:textId="77777777" w:rsidR="004E0F29" w:rsidRPr="0014205D" w:rsidRDefault="004E0F29" w:rsidP="004A5247">
            <w:pPr>
              <w:spacing w:before="60" w:after="60"/>
              <w:rPr>
                <w:rFonts w:cs="Arial"/>
                <w:color w:val="auto"/>
              </w:rPr>
            </w:pPr>
            <w:r w:rsidRPr="0014205D">
              <w:rPr>
                <w:rFonts w:cs="Arial"/>
                <w:color w:val="auto"/>
              </w:rPr>
              <w:t>Head of Law and Governance</w:t>
            </w:r>
          </w:p>
        </w:tc>
      </w:tr>
      <w:tr w:rsidR="004E0F29" w:rsidRPr="0014205D" w14:paraId="5C83928D" w14:textId="77777777" w:rsidTr="00B61E2B">
        <w:trPr>
          <w:trHeight w:val="1020"/>
        </w:trPr>
        <w:tc>
          <w:tcPr>
            <w:tcW w:w="2093" w:type="dxa"/>
            <w:vMerge/>
          </w:tcPr>
          <w:p w14:paraId="5C839289" w14:textId="77777777" w:rsidR="004E0F29" w:rsidRPr="0014205D" w:rsidRDefault="004E0F29" w:rsidP="004A5247">
            <w:pPr>
              <w:spacing w:before="60" w:after="60"/>
              <w:rPr>
                <w:rFonts w:cs="Arial"/>
                <w:color w:val="auto"/>
              </w:rPr>
            </w:pPr>
          </w:p>
        </w:tc>
        <w:tc>
          <w:tcPr>
            <w:tcW w:w="1483" w:type="dxa"/>
          </w:tcPr>
          <w:p w14:paraId="5C83928A" w14:textId="77777777" w:rsidR="004E0F29" w:rsidRPr="0014205D" w:rsidRDefault="004E0F29" w:rsidP="004A5247">
            <w:pPr>
              <w:spacing w:before="60" w:after="60"/>
              <w:rPr>
                <w:rFonts w:cs="Arial"/>
                <w:color w:val="auto"/>
              </w:rPr>
            </w:pPr>
            <w:r w:rsidRPr="0014205D">
              <w:rPr>
                <w:rFonts w:cs="Arial"/>
                <w:color w:val="auto"/>
              </w:rPr>
              <w:t>Section 191</w:t>
            </w:r>
          </w:p>
        </w:tc>
        <w:tc>
          <w:tcPr>
            <w:tcW w:w="3053" w:type="dxa"/>
          </w:tcPr>
          <w:p w14:paraId="5C83928B" w14:textId="77777777" w:rsidR="004E0F29" w:rsidRPr="0014205D" w:rsidRDefault="004E0F29" w:rsidP="004A5247">
            <w:pPr>
              <w:spacing w:before="60" w:after="60"/>
              <w:ind w:left="-28"/>
              <w:rPr>
                <w:rFonts w:cs="Arial"/>
                <w:color w:val="auto"/>
              </w:rPr>
            </w:pPr>
            <w:r w:rsidRPr="0014205D">
              <w:rPr>
                <w:rFonts w:cs="Arial"/>
                <w:color w:val="auto"/>
              </w:rPr>
              <w:t>Receiving applications under Section 1 of the Ordnance Survey Act 1841</w:t>
            </w:r>
          </w:p>
        </w:tc>
        <w:tc>
          <w:tcPr>
            <w:tcW w:w="2299" w:type="dxa"/>
          </w:tcPr>
          <w:p w14:paraId="5C83928C" w14:textId="77777777" w:rsidR="004E0F29" w:rsidRPr="0014205D" w:rsidRDefault="004E0F29" w:rsidP="004A5247">
            <w:pPr>
              <w:spacing w:before="60" w:after="60"/>
              <w:ind w:left="-2"/>
              <w:rPr>
                <w:rFonts w:cs="Arial"/>
                <w:color w:val="auto"/>
              </w:rPr>
            </w:pPr>
            <w:r w:rsidRPr="0014205D">
              <w:rPr>
                <w:rFonts w:cs="Arial"/>
                <w:color w:val="auto"/>
              </w:rPr>
              <w:t>Head of Law and Governance</w:t>
            </w:r>
          </w:p>
        </w:tc>
      </w:tr>
      <w:tr w:rsidR="004E0F29" w:rsidRPr="0014205D" w14:paraId="5C839292" w14:textId="77777777" w:rsidTr="00B61E2B">
        <w:trPr>
          <w:trHeight w:val="1020"/>
        </w:trPr>
        <w:tc>
          <w:tcPr>
            <w:tcW w:w="2093" w:type="dxa"/>
            <w:vMerge/>
          </w:tcPr>
          <w:p w14:paraId="5C83928E" w14:textId="77777777" w:rsidR="004E0F29" w:rsidRPr="0014205D" w:rsidRDefault="004E0F29" w:rsidP="004A5247">
            <w:pPr>
              <w:spacing w:before="60" w:after="60"/>
              <w:rPr>
                <w:rFonts w:cs="Arial"/>
                <w:color w:val="auto"/>
              </w:rPr>
            </w:pPr>
          </w:p>
        </w:tc>
        <w:tc>
          <w:tcPr>
            <w:tcW w:w="1483" w:type="dxa"/>
          </w:tcPr>
          <w:p w14:paraId="5C83928F" w14:textId="77777777" w:rsidR="004E0F29" w:rsidRPr="0014205D" w:rsidRDefault="004E0F29" w:rsidP="004A5247">
            <w:pPr>
              <w:spacing w:before="60" w:after="60"/>
              <w:rPr>
                <w:rFonts w:cs="Arial"/>
                <w:color w:val="auto"/>
              </w:rPr>
            </w:pPr>
            <w:r w:rsidRPr="0014205D">
              <w:rPr>
                <w:rFonts w:cs="Arial"/>
                <w:color w:val="auto"/>
              </w:rPr>
              <w:t>Section 214(3) and Article 9 of the Local Authorities’ Cemeteries Order 1974</w:t>
            </w:r>
          </w:p>
        </w:tc>
        <w:tc>
          <w:tcPr>
            <w:tcW w:w="3053" w:type="dxa"/>
          </w:tcPr>
          <w:p w14:paraId="5C839290" w14:textId="77777777" w:rsidR="004E0F29" w:rsidRPr="00374F2C" w:rsidRDefault="004E0F29" w:rsidP="004A5247">
            <w:pPr>
              <w:spacing w:before="60" w:after="60"/>
              <w:ind w:left="-28"/>
              <w:rPr>
                <w:rFonts w:cs="Arial"/>
                <w:color w:val="auto"/>
              </w:rPr>
            </w:pPr>
            <w:r w:rsidRPr="00374F2C">
              <w:rPr>
                <w:rFonts w:cs="Arial"/>
                <w:color w:val="auto"/>
              </w:rPr>
              <w:t>To grant exclusive right of burial and sign the necessary certificate</w:t>
            </w:r>
          </w:p>
        </w:tc>
        <w:tc>
          <w:tcPr>
            <w:tcW w:w="2299" w:type="dxa"/>
          </w:tcPr>
          <w:p w14:paraId="5C839291" w14:textId="77777777" w:rsidR="004E0F29" w:rsidRPr="00374F2C" w:rsidRDefault="004E0F29" w:rsidP="004A5247">
            <w:pPr>
              <w:spacing w:before="60" w:after="60"/>
              <w:ind w:left="-2"/>
              <w:rPr>
                <w:rFonts w:cs="Arial"/>
                <w:color w:val="auto"/>
              </w:rPr>
            </w:pPr>
            <w:r w:rsidRPr="00374F2C">
              <w:rPr>
                <w:rFonts w:cs="Arial"/>
                <w:color w:val="auto"/>
              </w:rPr>
              <w:t>Cemeteries Manager</w:t>
            </w:r>
          </w:p>
        </w:tc>
      </w:tr>
      <w:tr w:rsidR="004E0F29" w:rsidRPr="00FD10A2" w14:paraId="5C839297" w14:textId="77777777" w:rsidTr="00B61E2B">
        <w:trPr>
          <w:trHeight w:val="1020"/>
        </w:trPr>
        <w:tc>
          <w:tcPr>
            <w:tcW w:w="2093" w:type="dxa"/>
            <w:vMerge/>
          </w:tcPr>
          <w:p w14:paraId="5C839293" w14:textId="77777777" w:rsidR="004E0F29" w:rsidRPr="00FD10A2" w:rsidRDefault="004E0F29" w:rsidP="004A5247">
            <w:pPr>
              <w:spacing w:before="60" w:after="60"/>
              <w:rPr>
                <w:rFonts w:cs="Arial"/>
                <w:color w:val="auto"/>
              </w:rPr>
            </w:pPr>
          </w:p>
        </w:tc>
        <w:tc>
          <w:tcPr>
            <w:tcW w:w="1483" w:type="dxa"/>
          </w:tcPr>
          <w:p w14:paraId="5C839294" w14:textId="77777777" w:rsidR="004E0F29" w:rsidRPr="00FD10A2" w:rsidRDefault="004E0F29" w:rsidP="004A5247">
            <w:pPr>
              <w:spacing w:before="60" w:after="60"/>
              <w:rPr>
                <w:rFonts w:cs="Arial"/>
                <w:color w:val="auto"/>
              </w:rPr>
            </w:pPr>
            <w:r w:rsidRPr="00FD10A2">
              <w:rPr>
                <w:rFonts w:cs="Arial"/>
                <w:color w:val="auto"/>
              </w:rPr>
              <w:t>Section 223</w:t>
            </w:r>
          </w:p>
        </w:tc>
        <w:tc>
          <w:tcPr>
            <w:tcW w:w="3053" w:type="dxa"/>
          </w:tcPr>
          <w:p w14:paraId="5C839295" w14:textId="77777777" w:rsidR="004E0F29" w:rsidRPr="00FD10A2" w:rsidRDefault="004E0F29" w:rsidP="004A5247">
            <w:pPr>
              <w:spacing w:before="60" w:after="60"/>
              <w:ind w:left="-28"/>
              <w:rPr>
                <w:rFonts w:cs="Arial"/>
                <w:color w:val="auto"/>
              </w:rPr>
            </w:pPr>
            <w:r w:rsidRPr="00FD10A2">
              <w:rPr>
                <w:rFonts w:cs="Arial"/>
                <w:color w:val="auto"/>
              </w:rPr>
              <w:t>Authorisation (appearance by persons other than solicitors in legal proceedings)</w:t>
            </w:r>
          </w:p>
        </w:tc>
        <w:tc>
          <w:tcPr>
            <w:tcW w:w="2299" w:type="dxa"/>
          </w:tcPr>
          <w:p w14:paraId="5C839296" w14:textId="77777777" w:rsidR="004E0F29" w:rsidRPr="00FD10A2" w:rsidRDefault="004E0F29" w:rsidP="004A5247">
            <w:pPr>
              <w:spacing w:before="60" w:after="60"/>
              <w:ind w:left="-2"/>
              <w:rPr>
                <w:rFonts w:cs="Arial"/>
                <w:color w:val="auto"/>
              </w:rPr>
            </w:pPr>
            <w:r w:rsidRPr="00FD10A2">
              <w:rPr>
                <w:rFonts w:cs="Arial"/>
                <w:color w:val="auto"/>
              </w:rPr>
              <w:t>Head of Law and Governance</w:t>
            </w:r>
          </w:p>
        </w:tc>
      </w:tr>
      <w:tr w:rsidR="004E0F29" w:rsidRPr="0014205D" w14:paraId="5C83929C" w14:textId="77777777" w:rsidTr="00B61E2B">
        <w:trPr>
          <w:trHeight w:val="1020"/>
        </w:trPr>
        <w:tc>
          <w:tcPr>
            <w:tcW w:w="2093" w:type="dxa"/>
            <w:vMerge/>
          </w:tcPr>
          <w:p w14:paraId="5C839298" w14:textId="77777777" w:rsidR="004E0F29" w:rsidRPr="0014205D" w:rsidRDefault="004E0F29" w:rsidP="004A5247">
            <w:pPr>
              <w:spacing w:before="60" w:after="60"/>
              <w:rPr>
                <w:rFonts w:cs="Arial"/>
                <w:color w:val="auto"/>
              </w:rPr>
            </w:pPr>
          </w:p>
        </w:tc>
        <w:tc>
          <w:tcPr>
            <w:tcW w:w="1483" w:type="dxa"/>
          </w:tcPr>
          <w:p w14:paraId="5C839299" w14:textId="77777777" w:rsidR="004E0F29" w:rsidRPr="0014205D" w:rsidRDefault="004E0F29" w:rsidP="004A5247">
            <w:pPr>
              <w:spacing w:before="60" w:after="60"/>
              <w:rPr>
                <w:rFonts w:cs="Arial"/>
                <w:color w:val="auto"/>
              </w:rPr>
            </w:pPr>
            <w:r w:rsidRPr="0014205D">
              <w:rPr>
                <w:rFonts w:cs="Arial"/>
                <w:color w:val="auto"/>
              </w:rPr>
              <w:t>Section 225</w:t>
            </w:r>
          </w:p>
        </w:tc>
        <w:tc>
          <w:tcPr>
            <w:tcW w:w="3053" w:type="dxa"/>
          </w:tcPr>
          <w:p w14:paraId="5C83929A" w14:textId="77777777" w:rsidR="004E0F29" w:rsidRPr="0014205D" w:rsidRDefault="004E0F29" w:rsidP="00B61E2B">
            <w:pPr>
              <w:spacing w:before="60" w:after="60"/>
              <w:ind w:left="-14"/>
              <w:rPr>
                <w:rFonts w:cs="Arial"/>
                <w:color w:val="auto"/>
              </w:rPr>
            </w:pPr>
            <w:r w:rsidRPr="0014205D">
              <w:rPr>
                <w:rFonts w:cs="Arial"/>
                <w:color w:val="auto"/>
              </w:rPr>
              <w:t>Deposit of documents</w:t>
            </w:r>
          </w:p>
        </w:tc>
        <w:tc>
          <w:tcPr>
            <w:tcW w:w="2299" w:type="dxa"/>
          </w:tcPr>
          <w:p w14:paraId="5C83929B" w14:textId="77777777" w:rsidR="004E0F29" w:rsidRPr="0014205D" w:rsidRDefault="004E0F29" w:rsidP="004A5247">
            <w:pPr>
              <w:spacing w:before="60" w:after="60"/>
              <w:ind w:left="12"/>
              <w:rPr>
                <w:rFonts w:cs="Arial"/>
                <w:color w:val="auto"/>
              </w:rPr>
            </w:pPr>
            <w:r w:rsidRPr="0014205D">
              <w:rPr>
                <w:rFonts w:cs="Arial"/>
                <w:color w:val="auto"/>
              </w:rPr>
              <w:t>Head of Law and Governance</w:t>
            </w:r>
          </w:p>
        </w:tc>
      </w:tr>
      <w:tr w:rsidR="004E0F29" w:rsidRPr="0014205D" w14:paraId="5C8392A1" w14:textId="77777777" w:rsidTr="00B61E2B">
        <w:trPr>
          <w:trHeight w:val="1020"/>
        </w:trPr>
        <w:tc>
          <w:tcPr>
            <w:tcW w:w="2093" w:type="dxa"/>
            <w:vMerge/>
          </w:tcPr>
          <w:p w14:paraId="5C83929D" w14:textId="77777777" w:rsidR="004E0F29" w:rsidRPr="0014205D" w:rsidRDefault="004E0F29" w:rsidP="004A5247">
            <w:pPr>
              <w:spacing w:before="60" w:after="60"/>
              <w:rPr>
                <w:rFonts w:cs="Arial"/>
                <w:color w:val="auto"/>
              </w:rPr>
            </w:pPr>
          </w:p>
        </w:tc>
        <w:tc>
          <w:tcPr>
            <w:tcW w:w="1483" w:type="dxa"/>
          </w:tcPr>
          <w:p w14:paraId="5C83929E" w14:textId="77777777" w:rsidR="004E0F29" w:rsidRPr="0014205D" w:rsidRDefault="004E0F29" w:rsidP="004A5247">
            <w:pPr>
              <w:spacing w:before="60" w:after="60"/>
              <w:rPr>
                <w:rFonts w:cs="Arial"/>
                <w:color w:val="auto"/>
              </w:rPr>
            </w:pPr>
            <w:r w:rsidRPr="0014205D">
              <w:rPr>
                <w:rFonts w:cs="Arial"/>
                <w:color w:val="auto"/>
              </w:rPr>
              <w:t>Section 228</w:t>
            </w:r>
          </w:p>
        </w:tc>
        <w:tc>
          <w:tcPr>
            <w:tcW w:w="3053" w:type="dxa"/>
          </w:tcPr>
          <w:p w14:paraId="5C83929F" w14:textId="77777777" w:rsidR="004E0F29" w:rsidRPr="0014205D" w:rsidRDefault="004E0F29" w:rsidP="004A5247">
            <w:pPr>
              <w:spacing w:before="60" w:after="60"/>
              <w:ind w:left="-14"/>
              <w:rPr>
                <w:rFonts w:cs="Arial"/>
                <w:color w:val="auto"/>
              </w:rPr>
            </w:pPr>
            <w:r w:rsidRPr="0014205D">
              <w:rPr>
                <w:rFonts w:cs="Arial"/>
                <w:color w:val="auto"/>
              </w:rPr>
              <w:t>Inspection of documents</w:t>
            </w:r>
          </w:p>
        </w:tc>
        <w:tc>
          <w:tcPr>
            <w:tcW w:w="2299" w:type="dxa"/>
          </w:tcPr>
          <w:p w14:paraId="5C8392A0" w14:textId="77777777" w:rsidR="004E0F29" w:rsidRPr="0014205D" w:rsidRDefault="004E0F29" w:rsidP="004A5247">
            <w:pPr>
              <w:spacing w:before="60" w:after="60"/>
              <w:ind w:left="12"/>
              <w:rPr>
                <w:rFonts w:cs="Arial"/>
                <w:color w:val="auto"/>
              </w:rPr>
            </w:pPr>
            <w:r w:rsidRPr="0014205D">
              <w:rPr>
                <w:rFonts w:cs="Arial"/>
                <w:color w:val="auto"/>
              </w:rPr>
              <w:t>Head of Law and Governance</w:t>
            </w:r>
          </w:p>
        </w:tc>
      </w:tr>
      <w:tr w:rsidR="004E0F29" w:rsidRPr="0014205D" w14:paraId="5C8392A6" w14:textId="77777777" w:rsidTr="00B61E2B">
        <w:trPr>
          <w:trHeight w:val="1020"/>
        </w:trPr>
        <w:tc>
          <w:tcPr>
            <w:tcW w:w="2093" w:type="dxa"/>
            <w:vMerge/>
          </w:tcPr>
          <w:p w14:paraId="5C8392A2" w14:textId="77777777" w:rsidR="004E0F29" w:rsidRPr="0014205D" w:rsidRDefault="004E0F29" w:rsidP="004A5247">
            <w:pPr>
              <w:spacing w:before="60" w:after="60"/>
              <w:rPr>
                <w:rFonts w:cs="Arial"/>
                <w:color w:val="auto"/>
              </w:rPr>
            </w:pPr>
          </w:p>
        </w:tc>
        <w:tc>
          <w:tcPr>
            <w:tcW w:w="1483" w:type="dxa"/>
          </w:tcPr>
          <w:p w14:paraId="5C8392A3" w14:textId="77777777" w:rsidR="004E0F29" w:rsidRPr="0014205D" w:rsidRDefault="004E0F29" w:rsidP="004A5247">
            <w:pPr>
              <w:spacing w:before="60" w:after="60"/>
              <w:ind w:left="-14"/>
              <w:rPr>
                <w:rFonts w:cs="Arial"/>
                <w:color w:val="auto"/>
              </w:rPr>
            </w:pPr>
            <w:r w:rsidRPr="0014205D">
              <w:rPr>
                <w:rFonts w:cs="Arial"/>
                <w:color w:val="auto"/>
              </w:rPr>
              <w:t>Section 228(3)</w:t>
            </w:r>
          </w:p>
        </w:tc>
        <w:tc>
          <w:tcPr>
            <w:tcW w:w="3053" w:type="dxa"/>
          </w:tcPr>
          <w:p w14:paraId="5C8392A4" w14:textId="77777777" w:rsidR="004E0F29" w:rsidRPr="0014205D" w:rsidRDefault="004E0F29" w:rsidP="004A5247">
            <w:pPr>
              <w:spacing w:before="60" w:after="60"/>
              <w:ind w:left="-28"/>
              <w:rPr>
                <w:rFonts w:cs="Arial"/>
                <w:color w:val="auto"/>
              </w:rPr>
            </w:pPr>
            <w:r w:rsidRPr="0014205D">
              <w:rPr>
                <w:rFonts w:cs="Arial"/>
                <w:color w:val="auto"/>
              </w:rPr>
              <w:t>Making accounts available for Councillors to look at</w:t>
            </w:r>
          </w:p>
        </w:tc>
        <w:tc>
          <w:tcPr>
            <w:tcW w:w="2299" w:type="dxa"/>
          </w:tcPr>
          <w:p w14:paraId="5C8392A5" w14:textId="77777777" w:rsidR="004E0F29" w:rsidRPr="0014205D" w:rsidRDefault="004E0F29" w:rsidP="004A5247">
            <w:pPr>
              <w:spacing w:before="60" w:after="60"/>
              <w:ind w:left="26"/>
              <w:rPr>
                <w:rFonts w:cs="Arial"/>
                <w:color w:val="auto"/>
              </w:rPr>
            </w:pPr>
            <w:r w:rsidRPr="0014205D">
              <w:rPr>
                <w:rFonts w:cs="Arial"/>
                <w:color w:val="auto"/>
              </w:rPr>
              <w:t>Head of Financial Services</w:t>
            </w:r>
          </w:p>
        </w:tc>
      </w:tr>
      <w:tr w:rsidR="004E0F29" w:rsidRPr="0014205D" w14:paraId="5C8392AB" w14:textId="77777777" w:rsidTr="00B61E2B">
        <w:trPr>
          <w:trHeight w:val="1020"/>
        </w:trPr>
        <w:tc>
          <w:tcPr>
            <w:tcW w:w="2093" w:type="dxa"/>
            <w:vMerge/>
          </w:tcPr>
          <w:p w14:paraId="5C8392A7" w14:textId="77777777" w:rsidR="004E0F29" w:rsidRPr="0014205D" w:rsidRDefault="004E0F29" w:rsidP="004A5247">
            <w:pPr>
              <w:spacing w:before="60" w:after="60"/>
              <w:rPr>
                <w:rFonts w:cs="Arial"/>
                <w:color w:val="auto"/>
              </w:rPr>
            </w:pPr>
          </w:p>
        </w:tc>
        <w:tc>
          <w:tcPr>
            <w:tcW w:w="1483" w:type="dxa"/>
          </w:tcPr>
          <w:p w14:paraId="5C8392A8" w14:textId="77777777" w:rsidR="004E0F29" w:rsidRPr="0014205D" w:rsidRDefault="004E0F29" w:rsidP="004A5247">
            <w:pPr>
              <w:spacing w:before="60" w:after="60"/>
              <w:rPr>
                <w:rFonts w:cs="Arial"/>
                <w:color w:val="auto"/>
              </w:rPr>
            </w:pPr>
            <w:r w:rsidRPr="0014205D">
              <w:rPr>
                <w:rFonts w:cs="Arial"/>
                <w:color w:val="auto"/>
              </w:rPr>
              <w:t>Section 229(5)</w:t>
            </w:r>
          </w:p>
        </w:tc>
        <w:tc>
          <w:tcPr>
            <w:tcW w:w="3053" w:type="dxa"/>
          </w:tcPr>
          <w:p w14:paraId="5C8392A9" w14:textId="77777777" w:rsidR="004E0F29" w:rsidRPr="0014205D" w:rsidRDefault="004E0F29" w:rsidP="004A5247">
            <w:pPr>
              <w:spacing w:before="60" w:after="60"/>
              <w:ind w:left="-28"/>
              <w:rPr>
                <w:rFonts w:cs="Arial"/>
                <w:color w:val="auto"/>
              </w:rPr>
            </w:pPr>
            <w:r w:rsidRPr="0014205D">
              <w:rPr>
                <w:rFonts w:cs="Arial"/>
                <w:color w:val="auto"/>
              </w:rPr>
              <w:t>Certifying photocopies of documents</w:t>
            </w:r>
          </w:p>
        </w:tc>
        <w:tc>
          <w:tcPr>
            <w:tcW w:w="2299" w:type="dxa"/>
          </w:tcPr>
          <w:p w14:paraId="5C8392AA" w14:textId="77777777" w:rsidR="004E0F29" w:rsidRPr="0014205D" w:rsidRDefault="004E0F29" w:rsidP="004A5247">
            <w:pPr>
              <w:spacing w:before="60" w:after="60"/>
              <w:ind w:left="26"/>
              <w:rPr>
                <w:rFonts w:cs="Arial"/>
                <w:color w:val="auto"/>
              </w:rPr>
            </w:pPr>
            <w:r w:rsidRPr="0014205D">
              <w:rPr>
                <w:rFonts w:cs="Arial"/>
                <w:color w:val="auto"/>
              </w:rPr>
              <w:t>Head of Law and Governance</w:t>
            </w:r>
          </w:p>
        </w:tc>
      </w:tr>
      <w:tr w:rsidR="004E0F29" w:rsidRPr="0014205D" w14:paraId="5C8392B0" w14:textId="77777777" w:rsidTr="00B61E2B">
        <w:trPr>
          <w:trHeight w:val="1020"/>
        </w:trPr>
        <w:tc>
          <w:tcPr>
            <w:tcW w:w="2093" w:type="dxa"/>
            <w:vMerge/>
          </w:tcPr>
          <w:p w14:paraId="5C8392AC" w14:textId="77777777" w:rsidR="004E0F29" w:rsidRPr="0014205D" w:rsidRDefault="004E0F29" w:rsidP="004A5247">
            <w:pPr>
              <w:spacing w:before="60" w:after="60"/>
              <w:rPr>
                <w:rFonts w:cs="Arial"/>
                <w:color w:val="auto"/>
              </w:rPr>
            </w:pPr>
          </w:p>
        </w:tc>
        <w:tc>
          <w:tcPr>
            <w:tcW w:w="1483" w:type="dxa"/>
          </w:tcPr>
          <w:p w14:paraId="5C8392AD" w14:textId="77777777" w:rsidR="004E0F29" w:rsidRPr="0014205D" w:rsidRDefault="004E0F29" w:rsidP="004A5247">
            <w:pPr>
              <w:spacing w:before="60" w:after="60"/>
              <w:ind w:left="-14"/>
              <w:rPr>
                <w:rFonts w:cs="Arial"/>
                <w:color w:val="auto"/>
              </w:rPr>
            </w:pPr>
            <w:r w:rsidRPr="0014205D">
              <w:rPr>
                <w:rFonts w:cs="Arial"/>
                <w:color w:val="auto"/>
              </w:rPr>
              <w:t>Section 234</w:t>
            </w:r>
          </w:p>
        </w:tc>
        <w:tc>
          <w:tcPr>
            <w:tcW w:w="3053" w:type="dxa"/>
          </w:tcPr>
          <w:p w14:paraId="5C8392AE" w14:textId="77777777" w:rsidR="004E0F29" w:rsidRPr="00B61E2B" w:rsidRDefault="004E0F29" w:rsidP="00B61E2B">
            <w:pPr>
              <w:spacing w:before="60" w:after="60"/>
              <w:rPr>
                <w:rFonts w:cs="Arial"/>
                <w:strike/>
                <w:color w:val="auto"/>
              </w:rPr>
            </w:pPr>
            <w:r w:rsidRPr="0014205D">
              <w:rPr>
                <w:rFonts w:cs="Arial"/>
                <w:color w:val="auto"/>
              </w:rPr>
              <w:t xml:space="preserve">Signing notices, </w:t>
            </w:r>
            <w:proofErr w:type="gramStart"/>
            <w:r w:rsidRPr="0014205D">
              <w:rPr>
                <w:rFonts w:cs="Arial"/>
                <w:color w:val="auto"/>
              </w:rPr>
              <w:t>orders</w:t>
            </w:r>
            <w:proofErr w:type="gramEnd"/>
            <w:r w:rsidRPr="0014205D">
              <w:rPr>
                <w:rFonts w:cs="Arial"/>
                <w:color w:val="auto"/>
              </w:rPr>
              <w:t xml:space="preserve"> and other documents which the Council is required or authorised to issue by or under any enactment</w:t>
            </w:r>
          </w:p>
        </w:tc>
        <w:tc>
          <w:tcPr>
            <w:tcW w:w="2299" w:type="dxa"/>
          </w:tcPr>
          <w:p w14:paraId="5C8392AF" w14:textId="24E4CA5F" w:rsidR="004E0F29" w:rsidRPr="0014205D" w:rsidRDefault="004F102D" w:rsidP="004A5247">
            <w:pPr>
              <w:spacing w:before="60" w:after="60"/>
              <w:ind w:left="3" w:firstLine="25"/>
              <w:rPr>
                <w:rFonts w:cs="Arial"/>
                <w:color w:val="auto"/>
              </w:rPr>
            </w:pPr>
            <w:r w:rsidRPr="004F102D">
              <w:rPr>
                <w:rFonts w:cs="Arial"/>
                <w:color w:val="auto"/>
                <w:lang w:bidi="en-GB"/>
              </w:rPr>
              <w:t>All Heads of Service. The Head of Housing Services will be the Proper Officer, as Council Representative (Oxford Direct Services), for all Council functions carried out by Oxford Direct Services Ltd. Where no Head of Service, the relevant director will be the Proper Officer.</w:t>
            </w:r>
          </w:p>
        </w:tc>
      </w:tr>
      <w:tr w:rsidR="004E0F29" w:rsidRPr="0014205D" w14:paraId="5C8392B5" w14:textId="77777777" w:rsidTr="00B61E2B">
        <w:trPr>
          <w:trHeight w:val="1020"/>
        </w:trPr>
        <w:tc>
          <w:tcPr>
            <w:tcW w:w="2093" w:type="dxa"/>
            <w:vMerge/>
          </w:tcPr>
          <w:p w14:paraId="5C8392B1" w14:textId="77777777" w:rsidR="004E0F29" w:rsidRPr="0014205D" w:rsidRDefault="004E0F29" w:rsidP="004A5247">
            <w:pPr>
              <w:spacing w:before="60" w:after="60"/>
              <w:rPr>
                <w:rFonts w:cs="Arial"/>
                <w:color w:val="auto"/>
              </w:rPr>
            </w:pPr>
          </w:p>
        </w:tc>
        <w:tc>
          <w:tcPr>
            <w:tcW w:w="1483" w:type="dxa"/>
          </w:tcPr>
          <w:p w14:paraId="5C8392B2" w14:textId="77777777" w:rsidR="004E0F29" w:rsidRPr="0014205D" w:rsidRDefault="004E0F29" w:rsidP="004A5247">
            <w:pPr>
              <w:spacing w:before="60" w:after="60"/>
              <w:ind w:left="-28"/>
              <w:rPr>
                <w:rFonts w:cs="Arial"/>
                <w:color w:val="auto"/>
              </w:rPr>
            </w:pPr>
            <w:r w:rsidRPr="0014205D">
              <w:rPr>
                <w:rFonts w:cs="Arial"/>
                <w:color w:val="auto"/>
              </w:rPr>
              <w:t>Section 236(9) and (10)</w:t>
            </w:r>
          </w:p>
        </w:tc>
        <w:tc>
          <w:tcPr>
            <w:tcW w:w="3053" w:type="dxa"/>
          </w:tcPr>
          <w:p w14:paraId="5C8392B3" w14:textId="77777777" w:rsidR="004E0F29" w:rsidRPr="0014205D" w:rsidRDefault="004E0F29" w:rsidP="004A5247">
            <w:pPr>
              <w:spacing w:before="60" w:after="60"/>
              <w:ind w:left="14"/>
              <w:rPr>
                <w:rFonts w:cs="Arial"/>
                <w:color w:val="auto"/>
              </w:rPr>
            </w:pPr>
            <w:r w:rsidRPr="0014205D">
              <w:rPr>
                <w:rFonts w:cs="Arial"/>
                <w:color w:val="auto"/>
              </w:rPr>
              <w:t>Sending copies of byelaws to parish Councils, parish meetings and the county Council</w:t>
            </w:r>
          </w:p>
        </w:tc>
        <w:tc>
          <w:tcPr>
            <w:tcW w:w="2299" w:type="dxa"/>
          </w:tcPr>
          <w:p w14:paraId="5C8392B4" w14:textId="77777777" w:rsidR="004E0F29" w:rsidRPr="0014205D" w:rsidRDefault="004E0F29" w:rsidP="004A5247">
            <w:pPr>
              <w:spacing w:before="60" w:after="60"/>
              <w:ind w:left="26"/>
              <w:rPr>
                <w:rFonts w:cs="Arial"/>
                <w:color w:val="auto"/>
              </w:rPr>
            </w:pPr>
            <w:r w:rsidRPr="0014205D">
              <w:rPr>
                <w:rFonts w:cs="Arial"/>
                <w:color w:val="auto"/>
              </w:rPr>
              <w:t>Head of Law and Governance</w:t>
            </w:r>
          </w:p>
        </w:tc>
      </w:tr>
      <w:tr w:rsidR="004E0F29" w:rsidRPr="0014205D" w14:paraId="5C8392BA" w14:textId="77777777" w:rsidTr="00B61E2B">
        <w:trPr>
          <w:trHeight w:val="1020"/>
        </w:trPr>
        <w:tc>
          <w:tcPr>
            <w:tcW w:w="2093" w:type="dxa"/>
            <w:vMerge/>
          </w:tcPr>
          <w:p w14:paraId="5C8392B6" w14:textId="77777777" w:rsidR="004E0F29" w:rsidRPr="0014205D" w:rsidRDefault="004E0F29" w:rsidP="004A5247">
            <w:pPr>
              <w:spacing w:before="60" w:after="60"/>
              <w:rPr>
                <w:rFonts w:cs="Arial"/>
                <w:color w:val="auto"/>
              </w:rPr>
            </w:pPr>
          </w:p>
        </w:tc>
        <w:tc>
          <w:tcPr>
            <w:tcW w:w="1483" w:type="dxa"/>
          </w:tcPr>
          <w:p w14:paraId="5C8392B7" w14:textId="77777777" w:rsidR="004E0F29" w:rsidRPr="0014205D" w:rsidRDefault="004E0F29" w:rsidP="004A5247">
            <w:pPr>
              <w:spacing w:before="60" w:after="60"/>
              <w:ind w:left="-42"/>
              <w:rPr>
                <w:rFonts w:cs="Arial"/>
                <w:color w:val="auto"/>
              </w:rPr>
            </w:pPr>
            <w:r w:rsidRPr="0014205D">
              <w:rPr>
                <w:rFonts w:cs="Arial"/>
                <w:color w:val="auto"/>
              </w:rPr>
              <w:t xml:space="preserve">Section 238 </w:t>
            </w:r>
          </w:p>
        </w:tc>
        <w:tc>
          <w:tcPr>
            <w:tcW w:w="3053" w:type="dxa"/>
          </w:tcPr>
          <w:p w14:paraId="5C8392B8" w14:textId="77777777" w:rsidR="004E0F29" w:rsidRPr="0014205D" w:rsidRDefault="004E0F29" w:rsidP="004A5247">
            <w:pPr>
              <w:spacing w:before="60" w:after="60"/>
              <w:ind w:left="-28"/>
              <w:rPr>
                <w:rFonts w:cs="Arial"/>
                <w:color w:val="auto"/>
              </w:rPr>
            </w:pPr>
            <w:r w:rsidRPr="0014205D">
              <w:rPr>
                <w:rFonts w:cs="Arial"/>
                <w:color w:val="auto"/>
              </w:rPr>
              <w:t>Certification of byelaws</w:t>
            </w:r>
          </w:p>
        </w:tc>
        <w:tc>
          <w:tcPr>
            <w:tcW w:w="2299" w:type="dxa"/>
          </w:tcPr>
          <w:p w14:paraId="5C8392B9" w14:textId="77777777" w:rsidR="004E0F29" w:rsidRPr="0014205D" w:rsidRDefault="004E0F29" w:rsidP="004A5247">
            <w:pPr>
              <w:spacing w:before="60" w:after="60"/>
              <w:ind w:left="26"/>
              <w:rPr>
                <w:rFonts w:cs="Arial"/>
                <w:color w:val="auto"/>
              </w:rPr>
            </w:pPr>
            <w:r w:rsidRPr="0014205D">
              <w:rPr>
                <w:rFonts w:cs="Arial"/>
                <w:color w:val="auto"/>
              </w:rPr>
              <w:t>Head of Law and Governance</w:t>
            </w:r>
          </w:p>
        </w:tc>
      </w:tr>
      <w:tr w:rsidR="004E0F29" w:rsidRPr="0014205D" w14:paraId="5C8392C1" w14:textId="77777777" w:rsidTr="00B61E2B">
        <w:trPr>
          <w:trHeight w:val="1020"/>
        </w:trPr>
        <w:tc>
          <w:tcPr>
            <w:tcW w:w="2093" w:type="dxa"/>
            <w:vMerge/>
          </w:tcPr>
          <w:p w14:paraId="5C8392BB" w14:textId="77777777" w:rsidR="004E0F29" w:rsidRPr="0014205D" w:rsidRDefault="004E0F29" w:rsidP="004A5247">
            <w:pPr>
              <w:spacing w:before="60" w:after="60"/>
              <w:rPr>
                <w:rFonts w:cs="Arial"/>
                <w:color w:val="auto"/>
              </w:rPr>
            </w:pPr>
          </w:p>
        </w:tc>
        <w:tc>
          <w:tcPr>
            <w:tcW w:w="1483" w:type="dxa"/>
          </w:tcPr>
          <w:p w14:paraId="5C8392BC" w14:textId="77777777" w:rsidR="004E0F29" w:rsidRPr="0014205D" w:rsidRDefault="004E0F29" w:rsidP="004A5247">
            <w:pPr>
              <w:spacing w:before="60" w:after="60"/>
              <w:rPr>
                <w:rFonts w:cs="Arial"/>
                <w:color w:val="auto"/>
              </w:rPr>
            </w:pPr>
            <w:r w:rsidRPr="0014205D">
              <w:rPr>
                <w:rFonts w:cs="Arial"/>
                <w:color w:val="auto"/>
              </w:rPr>
              <w:t>Section 248</w:t>
            </w:r>
          </w:p>
        </w:tc>
        <w:tc>
          <w:tcPr>
            <w:tcW w:w="3053" w:type="dxa"/>
          </w:tcPr>
          <w:p w14:paraId="5C8392BD" w14:textId="77777777" w:rsidR="004E0F29" w:rsidRDefault="004E0F29" w:rsidP="004A5247">
            <w:pPr>
              <w:spacing w:before="60" w:after="60"/>
              <w:ind w:left="14"/>
              <w:rPr>
                <w:rFonts w:cs="Arial"/>
                <w:color w:val="auto"/>
              </w:rPr>
            </w:pPr>
            <w:r w:rsidRPr="0014205D">
              <w:rPr>
                <w:rFonts w:cs="Arial"/>
                <w:color w:val="auto"/>
              </w:rPr>
              <w:t>Keeping a list of freemen/freewomen of the city</w:t>
            </w:r>
          </w:p>
          <w:p w14:paraId="5C8392BE" w14:textId="77777777" w:rsidR="00966B98" w:rsidRPr="0014205D" w:rsidRDefault="00966B98" w:rsidP="004A5247">
            <w:pPr>
              <w:spacing w:before="60" w:after="60"/>
              <w:ind w:left="14"/>
              <w:rPr>
                <w:rFonts w:cs="Arial"/>
                <w:color w:val="auto"/>
              </w:rPr>
            </w:pPr>
          </w:p>
        </w:tc>
        <w:tc>
          <w:tcPr>
            <w:tcW w:w="2299" w:type="dxa"/>
          </w:tcPr>
          <w:p w14:paraId="5C8392BF" w14:textId="77777777" w:rsidR="004E0F29" w:rsidRPr="0014205D" w:rsidRDefault="004E0F29" w:rsidP="004A5247">
            <w:pPr>
              <w:spacing w:before="60" w:after="60"/>
              <w:ind w:left="26"/>
              <w:rPr>
                <w:rFonts w:cs="Arial"/>
                <w:color w:val="auto"/>
              </w:rPr>
            </w:pPr>
            <w:r w:rsidRPr="0014205D">
              <w:rPr>
                <w:rFonts w:cs="Arial"/>
                <w:color w:val="auto"/>
              </w:rPr>
              <w:t>Head of Law and Governance</w:t>
            </w:r>
          </w:p>
          <w:p w14:paraId="5C8392C0" w14:textId="77777777" w:rsidR="004E0F29" w:rsidRPr="0014205D" w:rsidRDefault="004E0F29" w:rsidP="004A5247">
            <w:pPr>
              <w:spacing w:before="60" w:after="60"/>
              <w:ind w:left="720"/>
              <w:rPr>
                <w:rFonts w:cs="Arial"/>
                <w:color w:val="auto"/>
              </w:rPr>
            </w:pPr>
          </w:p>
        </w:tc>
      </w:tr>
      <w:tr w:rsidR="004E0F29" w:rsidRPr="0014205D" w14:paraId="5C8392C6" w14:textId="77777777" w:rsidTr="00B61E2B">
        <w:trPr>
          <w:trHeight w:val="1020"/>
        </w:trPr>
        <w:tc>
          <w:tcPr>
            <w:tcW w:w="2093" w:type="dxa"/>
            <w:vMerge/>
          </w:tcPr>
          <w:p w14:paraId="5C8392C2" w14:textId="77777777" w:rsidR="004E0F29" w:rsidRPr="0014205D" w:rsidRDefault="004E0F29" w:rsidP="004A5247">
            <w:pPr>
              <w:spacing w:before="60" w:after="60"/>
              <w:rPr>
                <w:rFonts w:cs="Arial"/>
                <w:color w:val="auto"/>
              </w:rPr>
            </w:pPr>
          </w:p>
        </w:tc>
        <w:tc>
          <w:tcPr>
            <w:tcW w:w="1483" w:type="dxa"/>
          </w:tcPr>
          <w:p w14:paraId="5C8392C3" w14:textId="77777777" w:rsidR="004E0F29" w:rsidRPr="0014205D" w:rsidRDefault="004E0F29" w:rsidP="004A5247">
            <w:pPr>
              <w:spacing w:before="60" w:after="60"/>
              <w:rPr>
                <w:rFonts w:cs="Arial"/>
                <w:color w:val="auto"/>
              </w:rPr>
            </w:pPr>
            <w:r w:rsidRPr="0014205D">
              <w:rPr>
                <w:rFonts w:cs="Arial"/>
                <w:color w:val="auto"/>
              </w:rPr>
              <w:t>Schedule 12, Para 4(1</w:t>
            </w:r>
            <w:proofErr w:type="gramStart"/>
            <w:r w:rsidRPr="0014205D">
              <w:rPr>
                <w:rFonts w:cs="Arial"/>
                <w:color w:val="auto"/>
              </w:rPr>
              <w:t>A)(</w:t>
            </w:r>
            <w:proofErr w:type="gramEnd"/>
            <w:r w:rsidRPr="0014205D">
              <w:rPr>
                <w:rFonts w:cs="Arial"/>
                <w:color w:val="auto"/>
              </w:rPr>
              <w:t>b)</w:t>
            </w:r>
          </w:p>
        </w:tc>
        <w:tc>
          <w:tcPr>
            <w:tcW w:w="3053" w:type="dxa"/>
          </w:tcPr>
          <w:p w14:paraId="5C8392C4" w14:textId="77777777" w:rsidR="004E0F29" w:rsidRPr="0014205D" w:rsidRDefault="004E0F29" w:rsidP="004A5247">
            <w:pPr>
              <w:spacing w:before="60" w:after="60"/>
              <w:ind w:left="14"/>
              <w:rPr>
                <w:rFonts w:cs="Arial"/>
                <w:color w:val="auto"/>
              </w:rPr>
            </w:pPr>
            <w:r w:rsidRPr="0014205D">
              <w:rPr>
                <w:rFonts w:cs="Arial"/>
                <w:color w:val="auto"/>
              </w:rPr>
              <w:t>Authenticating a summons to attend a meeting</w:t>
            </w:r>
          </w:p>
        </w:tc>
        <w:tc>
          <w:tcPr>
            <w:tcW w:w="2299" w:type="dxa"/>
          </w:tcPr>
          <w:p w14:paraId="5C8392C5" w14:textId="77777777" w:rsidR="004E0F29" w:rsidRPr="0014205D" w:rsidRDefault="004E0F29" w:rsidP="004A5247">
            <w:pPr>
              <w:spacing w:before="60" w:after="60"/>
              <w:ind w:left="26"/>
              <w:rPr>
                <w:rFonts w:cs="Arial"/>
                <w:color w:val="auto"/>
              </w:rPr>
            </w:pPr>
            <w:r w:rsidRPr="0014205D">
              <w:rPr>
                <w:rFonts w:cs="Arial"/>
                <w:color w:val="auto"/>
              </w:rPr>
              <w:t>Head of Law and Governance</w:t>
            </w:r>
          </w:p>
        </w:tc>
      </w:tr>
      <w:tr w:rsidR="004E0F29" w:rsidRPr="0014205D" w14:paraId="5C8392CC" w14:textId="77777777" w:rsidTr="00B61E2B">
        <w:trPr>
          <w:trHeight w:val="1020"/>
        </w:trPr>
        <w:tc>
          <w:tcPr>
            <w:tcW w:w="2093" w:type="dxa"/>
            <w:vMerge/>
          </w:tcPr>
          <w:p w14:paraId="5C8392C7" w14:textId="77777777" w:rsidR="004E0F29" w:rsidRPr="0014205D" w:rsidRDefault="004E0F29" w:rsidP="004A5247">
            <w:pPr>
              <w:spacing w:before="60" w:after="60"/>
              <w:rPr>
                <w:rFonts w:cs="Arial"/>
                <w:color w:val="auto"/>
              </w:rPr>
            </w:pPr>
          </w:p>
        </w:tc>
        <w:tc>
          <w:tcPr>
            <w:tcW w:w="1483" w:type="dxa"/>
          </w:tcPr>
          <w:p w14:paraId="5C8392C8" w14:textId="77777777" w:rsidR="004E0F29" w:rsidRPr="0014205D" w:rsidRDefault="004E0F29" w:rsidP="004A5247">
            <w:pPr>
              <w:spacing w:before="60" w:after="60"/>
              <w:ind w:left="-42"/>
              <w:rPr>
                <w:rFonts w:cs="Arial"/>
                <w:color w:val="auto"/>
              </w:rPr>
            </w:pPr>
            <w:r w:rsidRPr="0014205D">
              <w:rPr>
                <w:rFonts w:cs="Arial"/>
                <w:color w:val="auto"/>
              </w:rPr>
              <w:t>Schedule 12, Para 4(2)(b)</w:t>
            </w:r>
          </w:p>
        </w:tc>
        <w:tc>
          <w:tcPr>
            <w:tcW w:w="3053" w:type="dxa"/>
          </w:tcPr>
          <w:p w14:paraId="5C8392C9" w14:textId="77777777" w:rsidR="004E0F29" w:rsidRPr="0014205D" w:rsidRDefault="004E0F29" w:rsidP="004A5247">
            <w:pPr>
              <w:spacing w:before="60" w:after="60"/>
              <w:rPr>
                <w:rFonts w:cs="Arial"/>
                <w:color w:val="auto"/>
              </w:rPr>
            </w:pPr>
            <w:r w:rsidRPr="0014205D">
              <w:rPr>
                <w:rFonts w:cs="Arial"/>
                <w:color w:val="auto"/>
              </w:rPr>
              <w:t>Signing the summons to full Council</w:t>
            </w:r>
          </w:p>
          <w:p w14:paraId="5C8392CA" w14:textId="77777777" w:rsidR="004E0F29" w:rsidRPr="0014205D" w:rsidRDefault="004E0F29" w:rsidP="004A5247">
            <w:pPr>
              <w:spacing w:before="60" w:after="60"/>
              <w:ind w:left="720"/>
              <w:rPr>
                <w:rFonts w:cs="Arial"/>
                <w:color w:val="auto"/>
              </w:rPr>
            </w:pPr>
          </w:p>
        </w:tc>
        <w:tc>
          <w:tcPr>
            <w:tcW w:w="2299" w:type="dxa"/>
          </w:tcPr>
          <w:p w14:paraId="5C8392CB" w14:textId="77777777" w:rsidR="004E0F29" w:rsidRPr="0014205D" w:rsidRDefault="004E0F29" w:rsidP="004A5247">
            <w:pPr>
              <w:spacing w:before="60" w:after="60"/>
              <w:ind w:left="12"/>
              <w:rPr>
                <w:rFonts w:cs="Arial"/>
                <w:color w:val="auto"/>
              </w:rPr>
            </w:pPr>
            <w:r w:rsidRPr="0014205D">
              <w:rPr>
                <w:rFonts w:cs="Arial"/>
                <w:color w:val="auto"/>
              </w:rPr>
              <w:t>Chief Executive</w:t>
            </w:r>
          </w:p>
        </w:tc>
      </w:tr>
      <w:tr w:rsidR="004E0F29" w:rsidRPr="0014205D" w14:paraId="5C8392D2" w14:textId="77777777" w:rsidTr="00B61E2B">
        <w:trPr>
          <w:trHeight w:val="1020"/>
        </w:trPr>
        <w:tc>
          <w:tcPr>
            <w:tcW w:w="2093" w:type="dxa"/>
            <w:vMerge/>
          </w:tcPr>
          <w:p w14:paraId="5C8392CD" w14:textId="77777777" w:rsidR="004E0F29" w:rsidRPr="0014205D" w:rsidRDefault="004E0F29" w:rsidP="004A5247">
            <w:pPr>
              <w:spacing w:before="60" w:after="60"/>
              <w:rPr>
                <w:rFonts w:cs="Arial"/>
                <w:color w:val="auto"/>
              </w:rPr>
            </w:pPr>
          </w:p>
        </w:tc>
        <w:tc>
          <w:tcPr>
            <w:tcW w:w="1483" w:type="dxa"/>
          </w:tcPr>
          <w:p w14:paraId="5C8392CE" w14:textId="77777777" w:rsidR="004E0F29" w:rsidRPr="0014205D" w:rsidRDefault="004E0F29" w:rsidP="004A5247">
            <w:pPr>
              <w:spacing w:before="60" w:after="60"/>
              <w:ind w:left="-42"/>
              <w:rPr>
                <w:rFonts w:cs="Arial"/>
                <w:color w:val="auto"/>
              </w:rPr>
            </w:pPr>
            <w:r w:rsidRPr="0014205D">
              <w:rPr>
                <w:rFonts w:cs="Arial"/>
                <w:color w:val="auto"/>
              </w:rPr>
              <w:t>Schedule 12 Para 4(3)</w:t>
            </w:r>
          </w:p>
        </w:tc>
        <w:tc>
          <w:tcPr>
            <w:tcW w:w="3053" w:type="dxa"/>
          </w:tcPr>
          <w:p w14:paraId="5C8392CF" w14:textId="77777777" w:rsidR="004E0F29" w:rsidRDefault="004E0F29" w:rsidP="004A5247">
            <w:pPr>
              <w:spacing w:before="60" w:after="60"/>
              <w:ind w:left="-28"/>
              <w:rPr>
                <w:rFonts w:cs="Arial"/>
                <w:color w:val="auto"/>
              </w:rPr>
            </w:pPr>
            <w:r w:rsidRPr="0014205D">
              <w:rPr>
                <w:rFonts w:cs="Arial"/>
                <w:color w:val="auto"/>
              </w:rPr>
              <w:t xml:space="preserve">Receipt of notification of address to send summonses to full Council </w:t>
            </w:r>
            <w:proofErr w:type="gramStart"/>
            <w:r w:rsidRPr="0014205D">
              <w:rPr>
                <w:rFonts w:cs="Arial"/>
                <w:color w:val="auto"/>
              </w:rPr>
              <w:t>meetings</w:t>
            </w:r>
            <w:proofErr w:type="gramEnd"/>
          </w:p>
          <w:p w14:paraId="5C8392D0" w14:textId="77777777" w:rsidR="00966B98" w:rsidRPr="0014205D" w:rsidRDefault="00966B98" w:rsidP="004A5247">
            <w:pPr>
              <w:spacing w:before="60" w:after="60"/>
              <w:ind w:left="-28"/>
              <w:rPr>
                <w:rFonts w:cs="Arial"/>
                <w:color w:val="auto"/>
              </w:rPr>
            </w:pPr>
          </w:p>
        </w:tc>
        <w:tc>
          <w:tcPr>
            <w:tcW w:w="2299" w:type="dxa"/>
          </w:tcPr>
          <w:p w14:paraId="5C8392D1" w14:textId="77777777" w:rsidR="004E0F29" w:rsidRPr="0014205D" w:rsidRDefault="004E0F29" w:rsidP="004A5247">
            <w:pPr>
              <w:spacing w:before="60" w:after="60"/>
              <w:ind w:left="12"/>
              <w:rPr>
                <w:rFonts w:cs="Arial"/>
                <w:color w:val="auto"/>
              </w:rPr>
            </w:pPr>
            <w:r w:rsidRPr="0014205D">
              <w:rPr>
                <w:rFonts w:cs="Arial"/>
                <w:color w:val="auto"/>
              </w:rPr>
              <w:t>Head of Law and Governance</w:t>
            </w:r>
          </w:p>
        </w:tc>
      </w:tr>
      <w:tr w:rsidR="004E0F29" w:rsidRPr="0014205D" w14:paraId="5C8392D7" w14:textId="77777777" w:rsidTr="00B61E2B">
        <w:trPr>
          <w:trHeight w:val="1020"/>
        </w:trPr>
        <w:tc>
          <w:tcPr>
            <w:tcW w:w="2093" w:type="dxa"/>
            <w:vMerge/>
          </w:tcPr>
          <w:p w14:paraId="5C8392D3" w14:textId="77777777" w:rsidR="004E0F29" w:rsidRPr="0014205D" w:rsidRDefault="004E0F29" w:rsidP="004A5247">
            <w:pPr>
              <w:spacing w:before="60"/>
              <w:rPr>
                <w:rFonts w:cs="Arial"/>
                <w:color w:val="auto"/>
              </w:rPr>
            </w:pPr>
          </w:p>
        </w:tc>
        <w:tc>
          <w:tcPr>
            <w:tcW w:w="1483" w:type="dxa"/>
          </w:tcPr>
          <w:p w14:paraId="5C8392D4" w14:textId="77777777" w:rsidR="004E0F29" w:rsidRPr="0014205D" w:rsidRDefault="004E0F29" w:rsidP="004A5247">
            <w:pPr>
              <w:spacing w:before="60"/>
              <w:ind w:left="-56"/>
              <w:rPr>
                <w:rFonts w:cs="Arial"/>
                <w:color w:val="auto"/>
              </w:rPr>
            </w:pPr>
            <w:r w:rsidRPr="0014205D">
              <w:rPr>
                <w:rFonts w:cs="Arial"/>
                <w:color w:val="auto"/>
              </w:rPr>
              <w:t>Schedule 14 Para 25</w:t>
            </w:r>
          </w:p>
        </w:tc>
        <w:tc>
          <w:tcPr>
            <w:tcW w:w="3053" w:type="dxa"/>
          </w:tcPr>
          <w:p w14:paraId="5C8392D5" w14:textId="77777777" w:rsidR="004E0F29" w:rsidRPr="0014205D" w:rsidRDefault="004E0F29" w:rsidP="004A5247">
            <w:pPr>
              <w:spacing w:before="60"/>
              <w:rPr>
                <w:rFonts w:cs="Arial"/>
                <w:color w:val="auto"/>
              </w:rPr>
            </w:pPr>
            <w:r w:rsidRPr="0014205D">
              <w:rPr>
                <w:rFonts w:cs="Arial"/>
                <w:color w:val="auto"/>
              </w:rPr>
              <w:t>Certifying resolutions passed under this Paragraph</w:t>
            </w:r>
          </w:p>
        </w:tc>
        <w:tc>
          <w:tcPr>
            <w:tcW w:w="2299" w:type="dxa"/>
          </w:tcPr>
          <w:p w14:paraId="5C8392D6" w14:textId="77777777" w:rsidR="004E0F29" w:rsidRPr="0014205D" w:rsidRDefault="004E0F29" w:rsidP="004A5247">
            <w:pPr>
              <w:spacing w:before="60"/>
              <w:ind w:left="40"/>
              <w:rPr>
                <w:rFonts w:cs="Arial"/>
                <w:color w:val="auto"/>
              </w:rPr>
            </w:pPr>
            <w:r w:rsidRPr="0014205D">
              <w:rPr>
                <w:rFonts w:cs="Arial"/>
                <w:color w:val="auto"/>
              </w:rPr>
              <w:t>Head of Law and Governance</w:t>
            </w:r>
          </w:p>
        </w:tc>
      </w:tr>
      <w:tr w:rsidR="0014205D" w:rsidRPr="0014205D" w14:paraId="5C8392DC" w14:textId="77777777" w:rsidTr="00B61E2B">
        <w:trPr>
          <w:trHeight w:val="1020"/>
        </w:trPr>
        <w:tc>
          <w:tcPr>
            <w:tcW w:w="2093" w:type="dxa"/>
          </w:tcPr>
          <w:p w14:paraId="5C8392D8" w14:textId="77777777" w:rsidR="0014205D" w:rsidRPr="0014205D" w:rsidRDefault="0014205D" w:rsidP="004A5247">
            <w:pPr>
              <w:spacing w:before="60"/>
              <w:rPr>
                <w:rFonts w:cs="Arial"/>
                <w:color w:val="auto"/>
              </w:rPr>
            </w:pPr>
            <w:r w:rsidRPr="0014205D">
              <w:rPr>
                <w:rFonts w:cs="Arial"/>
                <w:color w:val="auto"/>
              </w:rPr>
              <w:t>Local Government Act 1974</w:t>
            </w:r>
          </w:p>
        </w:tc>
        <w:tc>
          <w:tcPr>
            <w:tcW w:w="1483" w:type="dxa"/>
          </w:tcPr>
          <w:p w14:paraId="5C8392D9" w14:textId="77777777" w:rsidR="0014205D" w:rsidRPr="0014205D" w:rsidRDefault="0014205D" w:rsidP="004A5247">
            <w:pPr>
              <w:spacing w:before="60"/>
              <w:ind w:left="-45"/>
              <w:rPr>
                <w:rFonts w:cs="Arial"/>
                <w:color w:val="auto"/>
              </w:rPr>
            </w:pPr>
            <w:r w:rsidRPr="0014205D">
              <w:rPr>
                <w:rFonts w:cs="Arial"/>
                <w:color w:val="auto"/>
              </w:rPr>
              <w:t>Section 30(5)</w:t>
            </w:r>
          </w:p>
        </w:tc>
        <w:tc>
          <w:tcPr>
            <w:tcW w:w="3053" w:type="dxa"/>
          </w:tcPr>
          <w:p w14:paraId="5C8392DA" w14:textId="77777777" w:rsidR="0014205D" w:rsidRPr="0014205D" w:rsidRDefault="0014205D" w:rsidP="004A5247">
            <w:pPr>
              <w:spacing w:before="60"/>
              <w:ind w:left="-38"/>
              <w:rPr>
                <w:rFonts w:cs="Arial"/>
                <w:color w:val="auto"/>
              </w:rPr>
            </w:pPr>
            <w:r w:rsidRPr="0014205D">
              <w:rPr>
                <w:rFonts w:cs="Arial"/>
                <w:color w:val="auto"/>
              </w:rPr>
              <w:t>Giving notice that copies of an ombudsman’s report are available</w:t>
            </w:r>
          </w:p>
        </w:tc>
        <w:tc>
          <w:tcPr>
            <w:tcW w:w="2299" w:type="dxa"/>
          </w:tcPr>
          <w:p w14:paraId="5C8392DB" w14:textId="77777777" w:rsidR="0014205D" w:rsidRPr="0014205D" w:rsidRDefault="0014205D" w:rsidP="004A5247">
            <w:pPr>
              <w:spacing w:before="60"/>
              <w:ind w:left="-12"/>
              <w:rPr>
                <w:rFonts w:cs="Arial"/>
                <w:color w:val="auto"/>
              </w:rPr>
            </w:pPr>
            <w:r w:rsidRPr="0014205D">
              <w:rPr>
                <w:rFonts w:cs="Arial"/>
                <w:color w:val="auto"/>
              </w:rPr>
              <w:t>Chief Executive</w:t>
            </w:r>
          </w:p>
        </w:tc>
      </w:tr>
      <w:tr w:rsidR="0014205D" w:rsidRPr="0014205D" w14:paraId="5C8392E2" w14:textId="77777777" w:rsidTr="00B61E2B">
        <w:trPr>
          <w:trHeight w:val="1020"/>
        </w:trPr>
        <w:tc>
          <w:tcPr>
            <w:tcW w:w="2093" w:type="dxa"/>
          </w:tcPr>
          <w:p w14:paraId="5C8392DD" w14:textId="77777777" w:rsidR="0014205D" w:rsidRPr="0014205D" w:rsidRDefault="0014205D" w:rsidP="004A5247">
            <w:pPr>
              <w:spacing w:before="60" w:after="60"/>
              <w:rPr>
                <w:rFonts w:cs="Arial"/>
                <w:color w:val="auto"/>
              </w:rPr>
            </w:pPr>
            <w:r w:rsidRPr="0014205D">
              <w:rPr>
                <w:rFonts w:cs="Arial"/>
                <w:color w:val="auto"/>
              </w:rPr>
              <w:t>Local Government (Miscellaneous Provisions) Act 1976</w:t>
            </w:r>
          </w:p>
          <w:p w14:paraId="5C8392DE" w14:textId="77777777" w:rsidR="0014205D" w:rsidRPr="0014205D" w:rsidRDefault="0014205D" w:rsidP="004A5247">
            <w:pPr>
              <w:spacing w:before="60" w:after="60"/>
              <w:rPr>
                <w:rFonts w:cs="Arial"/>
                <w:color w:val="auto"/>
              </w:rPr>
            </w:pPr>
          </w:p>
        </w:tc>
        <w:tc>
          <w:tcPr>
            <w:tcW w:w="1483" w:type="dxa"/>
          </w:tcPr>
          <w:p w14:paraId="5C8392DF" w14:textId="77777777" w:rsidR="0014205D" w:rsidRPr="0014205D" w:rsidRDefault="0014205D" w:rsidP="004A5247">
            <w:pPr>
              <w:spacing w:before="60" w:after="60"/>
              <w:ind w:left="-45"/>
              <w:rPr>
                <w:rFonts w:cs="Arial"/>
                <w:color w:val="auto"/>
              </w:rPr>
            </w:pPr>
            <w:r w:rsidRPr="0014205D">
              <w:rPr>
                <w:rFonts w:cs="Arial"/>
                <w:color w:val="auto"/>
              </w:rPr>
              <w:t>Section 41</w:t>
            </w:r>
          </w:p>
        </w:tc>
        <w:tc>
          <w:tcPr>
            <w:tcW w:w="3053" w:type="dxa"/>
          </w:tcPr>
          <w:p w14:paraId="5C8392E0" w14:textId="77777777" w:rsidR="0014205D" w:rsidRPr="0014205D" w:rsidRDefault="0014205D" w:rsidP="004A5247">
            <w:pPr>
              <w:spacing w:before="60" w:after="60"/>
              <w:ind w:left="-38"/>
              <w:rPr>
                <w:rFonts w:cs="Arial"/>
                <w:color w:val="auto"/>
              </w:rPr>
            </w:pPr>
            <w:r w:rsidRPr="0014205D">
              <w:rPr>
                <w:rFonts w:cs="Arial"/>
                <w:color w:val="auto"/>
              </w:rPr>
              <w:t>Certifying copies of resolutions and minutes and copy instruments appointing officers to perform certain functions</w:t>
            </w:r>
          </w:p>
        </w:tc>
        <w:tc>
          <w:tcPr>
            <w:tcW w:w="2299" w:type="dxa"/>
          </w:tcPr>
          <w:p w14:paraId="5C8392E1" w14:textId="77777777" w:rsidR="0014205D" w:rsidRPr="0014205D" w:rsidRDefault="0014205D" w:rsidP="004A5247">
            <w:pPr>
              <w:spacing w:before="60" w:after="60"/>
              <w:ind w:left="-12"/>
              <w:rPr>
                <w:rFonts w:cs="Arial"/>
                <w:color w:val="auto"/>
              </w:rPr>
            </w:pPr>
            <w:r w:rsidRPr="0014205D">
              <w:rPr>
                <w:rFonts w:cs="Arial"/>
                <w:color w:val="auto"/>
              </w:rPr>
              <w:t>Head of Law and Governance</w:t>
            </w:r>
          </w:p>
        </w:tc>
      </w:tr>
      <w:tr w:rsidR="0014205D" w:rsidRPr="0014205D" w14:paraId="5C8392E7" w14:textId="77777777" w:rsidTr="00B61E2B">
        <w:trPr>
          <w:trHeight w:val="1020"/>
        </w:trPr>
        <w:tc>
          <w:tcPr>
            <w:tcW w:w="2093" w:type="dxa"/>
          </w:tcPr>
          <w:p w14:paraId="5C8392E3" w14:textId="77777777" w:rsidR="0014205D" w:rsidRPr="0014205D" w:rsidRDefault="0014205D" w:rsidP="004A5247">
            <w:pPr>
              <w:spacing w:before="60"/>
              <w:rPr>
                <w:rFonts w:cs="Arial"/>
                <w:color w:val="auto"/>
              </w:rPr>
            </w:pPr>
            <w:r w:rsidRPr="0014205D">
              <w:rPr>
                <w:rFonts w:cs="Arial"/>
                <w:color w:val="auto"/>
              </w:rPr>
              <w:t xml:space="preserve">Local Authorities Cemeteries Order 1977 </w:t>
            </w:r>
          </w:p>
        </w:tc>
        <w:tc>
          <w:tcPr>
            <w:tcW w:w="1483" w:type="dxa"/>
          </w:tcPr>
          <w:p w14:paraId="5C8392E4" w14:textId="77777777" w:rsidR="0014205D" w:rsidRPr="0014205D" w:rsidRDefault="0014205D" w:rsidP="004A5247">
            <w:pPr>
              <w:spacing w:before="60"/>
              <w:ind w:left="-45"/>
              <w:rPr>
                <w:rFonts w:cs="Arial"/>
                <w:color w:val="auto"/>
              </w:rPr>
            </w:pPr>
            <w:r w:rsidRPr="0014205D">
              <w:rPr>
                <w:rFonts w:cs="Arial"/>
                <w:color w:val="auto"/>
              </w:rPr>
              <w:t>Article 10</w:t>
            </w:r>
          </w:p>
        </w:tc>
        <w:tc>
          <w:tcPr>
            <w:tcW w:w="3053" w:type="dxa"/>
          </w:tcPr>
          <w:p w14:paraId="5C8392E5" w14:textId="77777777" w:rsidR="0014205D" w:rsidRPr="0014205D" w:rsidRDefault="0014205D" w:rsidP="004A5247">
            <w:pPr>
              <w:spacing w:before="60"/>
              <w:ind w:left="-38"/>
              <w:rPr>
                <w:rFonts w:cs="Arial"/>
                <w:color w:val="auto"/>
              </w:rPr>
            </w:pPr>
            <w:r w:rsidRPr="0014205D">
              <w:rPr>
                <w:rFonts w:cs="Arial"/>
                <w:color w:val="auto"/>
              </w:rPr>
              <w:t>Signing exclusive burial rights</w:t>
            </w:r>
          </w:p>
        </w:tc>
        <w:tc>
          <w:tcPr>
            <w:tcW w:w="2299" w:type="dxa"/>
          </w:tcPr>
          <w:p w14:paraId="5C8392E6" w14:textId="77777777" w:rsidR="0014205D" w:rsidRPr="0014205D" w:rsidRDefault="0014205D" w:rsidP="004A5247">
            <w:pPr>
              <w:autoSpaceDE w:val="0"/>
              <w:autoSpaceDN w:val="0"/>
              <w:adjustRightInd w:val="0"/>
              <w:spacing w:before="60"/>
              <w:ind w:left="-12" w:right="17"/>
              <w:rPr>
                <w:rFonts w:eastAsia="Batang" w:cs="Arial"/>
              </w:rPr>
            </w:pPr>
            <w:r w:rsidRPr="00374F2C">
              <w:rPr>
                <w:rFonts w:eastAsia="Batang" w:cs="Arial"/>
                <w:color w:val="auto"/>
              </w:rPr>
              <w:t>Cemeteries Manager</w:t>
            </w:r>
          </w:p>
        </w:tc>
      </w:tr>
      <w:tr w:rsidR="0014205D" w:rsidRPr="0014205D" w14:paraId="5C8392ED" w14:textId="77777777" w:rsidTr="00B61E2B">
        <w:trPr>
          <w:trHeight w:val="1020"/>
        </w:trPr>
        <w:tc>
          <w:tcPr>
            <w:tcW w:w="2093" w:type="dxa"/>
          </w:tcPr>
          <w:p w14:paraId="5C8392E8" w14:textId="77777777" w:rsidR="0014205D" w:rsidRPr="0014205D" w:rsidRDefault="0014205D" w:rsidP="005545E4">
            <w:pPr>
              <w:tabs>
                <w:tab w:val="left" w:pos="2694"/>
              </w:tabs>
              <w:spacing w:before="60"/>
              <w:rPr>
                <w:rFonts w:cs="Arial"/>
              </w:rPr>
            </w:pPr>
            <w:r w:rsidRPr="0014205D">
              <w:rPr>
                <w:rFonts w:cs="Arial"/>
              </w:rPr>
              <w:t>Highways Act 1980</w:t>
            </w:r>
          </w:p>
          <w:p w14:paraId="5C8392E9" w14:textId="77777777" w:rsidR="0014205D" w:rsidRPr="0014205D" w:rsidRDefault="0014205D" w:rsidP="005545E4">
            <w:pPr>
              <w:spacing w:before="60"/>
              <w:rPr>
                <w:rFonts w:cs="Arial"/>
                <w:color w:val="auto"/>
              </w:rPr>
            </w:pPr>
          </w:p>
        </w:tc>
        <w:tc>
          <w:tcPr>
            <w:tcW w:w="1483" w:type="dxa"/>
          </w:tcPr>
          <w:p w14:paraId="5C8392EA" w14:textId="77777777" w:rsidR="0014205D" w:rsidRPr="0014205D" w:rsidRDefault="0014205D" w:rsidP="005545E4">
            <w:pPr>
              <w:spacing w:before="60"/>
              <w:ind w:left="-45"/>
              <w:rPr>
                <w:rFonts w:cs="Arial"/>
                <w:color w:val="auto"/>
              </w:rPr>
            </w:pPr>
          </w:p>
        </w:tc>
        <w:tc>
          <w:tcPr>
            <w:tcW w:w="3053" w:type="dxa"/>
          </w:tcPr>
          <w:p w14:paraId="5C8392EB" w14:textId="77777777" w:rsidR="0014205D" w:rsidRPr="00374F2C" w:rsidRDefault="0014205D" w:rsidP="005545E4">
            <w:pPr>
              <w:spacing w:before="60"/>
              <w:ind w:left="-38"/>
              <w:rPr>
                <w:rFonts w:cs="Arial"/>
                <w:color w:val="auto"/>
              </w:rPr>
            </w:pPr>
            <w:r w:rsidRPr="00374F2C">
              <w:rPr>
                <w:rFonts w:cs="Arial"/>
                <w:color w:val="auto"/>
              </w:rPr>
              <w:t xml:space="preserve">Signing notices, </w:t>
            </w:r>
            <w:proofErr w:type="gramStart"/>
            <w:r w:rsidRPr="00374F2C">
              <w:rPr>
                <w:rFonts w:cs="Arial"/>
                <w:color w:val="auto"/>
              </w:rPr>
              <w:t>orders</w:t>
            </w:r>
            <w:proofErr w:type="gramEnd"/>
            <w:r w:rsidRPr="00374F2C">
              <w:rPr>
                <w:rFonts w:cs="Arial"/>
                <w:color w:val="auto"/>
              </w:rPr>
              <w:t xml:space="preserve"> and other documents which the Council is required or authorised to issue in relation to all work contracted out to Oxford Direct Services Limited </w:t>
            </w:r>
          </w:p>
        </w:tc>
        <w:tc>
          <w:tcPr>
            <w:tcW w:w="2299" w:type="dxa"/>
          </w:tcPr>
          <w:p w14:paraId="5C8392EC" w14:textId="77777777" w:rsidR="0014205D" w:rsidRPr="00374F2C" w:rsidRDefault="0014205D" w:rsidP="005545E4">
            <w:pPr>
              <w:autoSpaceDE w:val="0"/>
              <w:autoSpaceDN w:val="0"/>
              <w:adjustRightInd w:val="0"/>
              <w:spacing w:before="60"/>
              <w:ind w:left="-11" w:right="17"/>
              <w:rPr>
                <w:rFonts w:eastAsia="Batang" w:cs="Arial"/>
                <w:color w:val="auto"/>
              </w:rPr>
            </w:pPr>
            <w:r w:rsidRPr="00374F2C">
              <w:rPr>
                <w:rFonts w:eastAsia="Batang" w:cs="Arial"/>
                <w:color w:val="auto"/>
              </w:rPr>
              <w:t xml:space="preserve">Head of Housing </w:t>
            </w:r>
            <w:r w:rsidR="004D7CAA">
              <w:rPr>
                <w:rFonts w:eastAsia="Batang" w:cs="Arial"/>
                <w:color w:val="auto"/>
              </w:rPr>
              <w:t xml:space="preserve">Services </w:t>
            </w:r>
            <w:r w:rsidRPr="00374F2C">
              <w:rPr>
                <w:rFonts w:eastAsia="Batang" w:cs="Arial"/>
                <w:color w:val="auto"/>
              </w:rPr>
              <w:t xml:space="preserve">as Council Representative (Oxford Direct Services) </w:t>
            </w:r>
          </w:p>
        </w:tc>
      </w:tr>
      <w:tr w:rsidR="00B61E2B" w:rsidRPr="0014205D" w14:paraId="5C8392F3" w14:textId="77777777" w:rsidTr="00B61E2B">
        <w:trPr>
          <w:trHeight w:val="1020"/>
        </w:trPr>
        <w:tc>
          <w:tcPr>
            <w:tcW w:w="2093" w:type="dxa"/>
            <w:vMerge w:val="restart"/>
          </w:tcPr>
          <w:p w14:paraId="5C8392EE" w14:textId="77777777" w:rsidR="00B61E2B" w:rsidRPr="0014205D" w:rsidRDefault="00B61E2B" w:rsidP="00B61E2B">
            <w:pPr>
              <w:spacing w:before="60"/>
              <w:rPr>
                <w:rFonts w:cs="Arial"/>
                <w:color w:val="auto"/>
              </w:rPr>
            </w:pPr>
            <w:r w:rsidRPr="0014205D">
              <w:rPr>
                <w:rFonts w:cs="Arial"/>
                <w:color w:val="auto"/>
              </w:rPr>
              <w:t>Representation of the People Act 1983</w:t>
            </w:r>
          </w:p>
        </w:tc>
        <w:tc>
          <w:tcPr>
            <w:tcW w:w="1483" w:type="dxa"/>
          </w:tcPr>
          <w:p w14:paraId="5C8392EF" w14:textId="77777777" w:rsidR="00B61E2B" w:rsidRPr="0014205D" w:rsidRDefault="00B61E2B" w:rsidP="004A5247">
            <w:pPr>
              <w:spacing w:before="60"/>
              <w:ind w:left="-14"/>
              <w:rPr>
                <w:rFonts w:cs="Arial"/>
                <w:color w:val="auto"/>
              </w:rPr>
            </w:pPr>
            <w:r w:rsidRPr="0014205D">
              <w:rPr>
                <w:rFonts w:cs="Arial"/>
                <w:color w:val="auto"/>
              </w:rPr>
              <w:t>Section 28</w:t>
            </w:r>
          </w:p>
        </w:tc>
        <w:tc>
          <w:tcPr>
            <w:tcW w:w="3053" w:type="dxa"/>
          </w:tcPr>
          <w:p w14:paraId="5C8392F0" w14:textId="77777777" w:rsidR="00B61E2B" w:rsidRPr="0014205D" w:rsidRDefault="00B61E2B" w:rsidP="004A5247">
            <w:pPr>
              <w:spacing w:before="60"/>
              <w:ind w:left="-14"/>
              <w:rPr>
                <w:rFonts w:cs="Arial"/>
                <w:color w:val="auto"/>
              </w:rPr>
            </w:pPr>
            <w:r w:rsidRPr="0014205D">
              <w:rPr>
                <w:rFonts w:cs="Arial"/>
                <w:color w:val="auto"/>
              </w:rPr>
              <w:t>Acting Returning Officer at Parliamentary Elections</w:t>
            </w:r>
          </w:p>
          <w:p w14:paraId="5C8392F1" w14:textId="77777777" w:rsidR="00B61E2B" w:rsidRPr="0014205D" w:rsidRDefault="00B61E2B" w:rsidP="004A5247">
            <w:pPr>
              <w:spacing w:before="60"/>
              <w:ind w:left="-14"/>
              <w:rPr>
                <w:rFonts w:cs="Arial"/>
                <w:color w:val="auto"/>
              </w:rPr>
            </w:pPr>
          </w:p>
        </w:tc>
        <w:tc>
          <w:tcPr>
            <w:tcW w:w="2299" w:type="dxa"/>
          </w:tcPr>
          <w:p w14:paraId="5C8392F2" w14:textId="77777777" w:rsidR="00B61E2B" w:rsidRPr="0014205D" w:rsidRDefault="00B61E2B" w:rsidP="00CB0C76">
            <w:pPr>
              <w:autoSpaceDE w:val="0"/>
              <w:autoSpaceDN w:val="0"/>
              <w:adjustRightInd w:val="0"/>
              <w:spacing w:before="60"/>
              <w:ind w:left="34" w:right="17"/>
              <w:rPr>
                <w:rFonts w:eastAsia="Batang" w:cs="Arial"/>
              </w:rPr>
            </w:pPr>
            <w:r w:rsidRPr="0014205D">
              <w:rPr>
                <w:rFonts w:eastAsia="Batang" w:cs="Arial"/>
              </w:rPr>
              <w:t xml:space="preserve">Returning Officer appointed by the Council (currently Head of </w:t>
            </w:r>
            <w:r w:rsidR="00CB0C76">
              <w:rPr>
                <w:rFonts w:eastAsia="Batang" w:cs="Arial"/>
              </w:rPr>
              <w:t>Paid Service</w:t>
            </w:r>
            <w:r w:rsidRPr="0014205D">
              <w:rPr>
                <w:rFonts w:eastAsia="Batang" w:cs="Arial"/>
              </w:rPr>
              <w:t xml:space="preserve"> </w:t>
            </w:r>
            <w:r w:rsidR="00CB0C76">
              <w:rPr>
                <w:rFonts w:eastAsia="Batang" w:cs="Arial"/>
              </w:rPr>
              <w:t>20/03/23</w:t>
            </w:r>
            <w:r w:rsidRPr="0014205D">
              <w:rPr>
                <w:rFonts w:eastAsia="Batang" w:cs="Arial"/>
              </w:rPr>
              <w:t>)</w:t>
            </w:r>
          </w:p>
        </w:tc>
      </w:tr>
      <w:tr w:rsidR="00B61E2B" w:rsidRPr="0014205D" w14:paraId="5C8392F8" w14:textId="77777777" w:rsidTr="00B61E2B">
        <w:trPr>
          <w:trHeight w:val="1020"/>
        </w:trPr>
        <w:tc>
          <w:tcPr>
            <w:tcW w:w="2093" w:type="dxa"/>
            <w:vMerge/>
          </w:tcPr>
          <w:p w14:paraId="5C8392F4" w14:textId="77777777" w:rsidR="00B61E2B" w:rsidRPr="0014205D" w:rsidRDefault="00B61E2B" w:rsidP="004A5247">
            <w:pPr>
              <w:spacing w:before="60" w:after="60"/>
              <w:ind w:left="126"/>
              <w:rPr>
                <w:rFonts w:cs="Arial"/>
                <w:color w:val="auto"/>
              </w:rPr>
            </w:pPr>
          </w:p>
        </w:tc>
        <w:tc>
          <w:tcPr>
            <w:tcW w:w="1483" w:type="dxa"/>
          </w:tcPr>
          <w:p w14:paraId="5C8392F5" w14:textId="77777777" w:rsidR="00B61E2B" w:rsidRPr="0014205D" w:rsidRDefault="00B61E2B" w:rsidP="004A5247">
            <w:pPr>
              <w:spacing w:before="60" w:after="60"/>
              <w:ind w:left="-14"/>
              <w:rPr>
                <w:rFonts w:cs="Arial"/>
                <w:color w:val="auto"/>
              </w:rPr>
            </w:pPr>
            <w:r w:rsidRPr="0014205D">
              <w:rPr>
                <w:rFonts w:cs="Arial"/>
                <w:color w:val="auto"/>
              </w:rPr>
              <w:t>Section 67</w:t>
            </w:r>
          </w:p>
        </w:tc>
        <w:tc>
          <w:tcPr>
            <w:tcW w:w="3053" w:type="dxa"/>
          </w:tcPr>
          <w:p w14:paraId="5C8392F6" w14:textId="77777777" w:rsidR="00B61E2B" w:rsidRPr="0014205D" w:rsidRDefault="00B61E2B" w:rsidP="004A5247">
            <w:pPr>
              <w:spacing w:before="60" w:after="60"/>
              <w:ind w:left="-14"/>
              <w:rPr>
                <w:rFonts w:cs="Arial"/>
                <w:color w:val="auto"/>
              </w:rPr>
            </w:pPr>
            <w:r w:rsidRPr="0014205D">
              <w:rPr>
                <w:rFonts w:cs="Arial"/>
                <w:color w:val="auto"/>
              </w:rPr>
              <w:t>Receipt of appointment and publication of names and addresses of election agents</w:t>
            </w:r>
          </w:p>
        </w:tc>
        <w:tc>
          <w:tcPr>
            <w:tcW w:w="2299" w:type="dxa"/>
          </w:tcPr>
          <w:p w14:paraId="5C8392F7"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Returning Officer</w:t>
            </w:r>
          </w:p>
        </w:tc>
      </w:tr>
      <w:tr w:rsidR="00B61E2B" w:rsidRPr="0014205D" w14:paraId="5C8392FD" w14:textId="77777777" w:rsidTr="00B61E2B">
        <w:trPr>
          <w:trHeight w:val="1020"/>
        </w:trPr>
        <w:tc>
          <w:tcPr>
            <w:tcW w:w="2093" w:type="dxa"/>
            <w:vMerge/>
          </w:tcPr>
          <w:p w14:paraId="5C8392F9" w14:textId="77777777" w:rsidR="00B61E2B" w:rsidRPr="0014205D" w:rsidRDefault="00B61E2B" w:rsidP="004A5247">
            <w:pPr>
              <w:spacing w:before="60" w:after="60"/>
              <w:ind w:left="126"/>
              <w:rPr>
                <w:rFonts w:cs="Arial"/>
                <w:color w:val="auto"/>
              </w:rPr>
            </w:pPr>
          </w:p>
        </w:tc>
        <w:tc>
          <w:tcPr>
            <w:tcW w:w="1483" w:type="dxa"/>
          </w:tcPr>
          <w:p w14:paraId="5C8392FA" w14:textId="77777777" w:rsidR="00B61E2B" w:rsidRPr="0014205D" w:rsidRDefault="00B61E2B" w:rsidP="004A5247">
            <w:pPr>
              <w:spacing w:before="60" w:after="60"/>
              <w:ind w:left="-14"/>
              <w:rPr>
                <w:rFonts w:cs="Arial"/>
                <w:color w:val="auto"/>
              </w:rPr>
            </w:pPr>
            <w:r w:rsidRPr="0014205D">
              <w:rPr>
                <w:rFonts w:cs="Arial"/>
                <w:color w:val="auto"/>
              </w:rPr>
              <w:t>Section 81</w:t>
            </w:r>
          </w:p>
        </w:tc>
        <w:tc>
          <w:tcPr>
            <w:tcW w:w="3053" w:type="dxa"/>
          </w:tcPr>
          <w:p w14:paraId="5C8392FB" w14:textId="77777777" w:rsidR="00B61E2B" w:rsidRPr="0014205D" w:rsidRDefault="00B61E2B" w:rsidP="004A5247">
            <w:pPr>
              <w:spacing w:before="60" w:after="60"/>
              <w:ind w:left="-14"/>
              <w:rPr>
                <w:rFonts w:cs="Arial"/>
                <w:color w:val="auto"/>
              </w:rPr>
            </w:pPr>
            <w:r w:rsidRPr="0014205D">
              <w:rPr>
                <w:rFonts w:cs="Arial"/>
                <w:color w:val="auto"/>
              </w:rPr>
              <w:t>Receipt of return of election expenses</w:t>
            </w:r>
          </w:p>
        </w:tc>
        <w:tc>
          <w:tcPr>
            <w:tcW w:w="2299" w:type="dxa"/>
          </w:tcPr>
          <w:p w14:paraId="5C8392FC"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Returning Officer</w:t>
            </w:r>
          </w:p>
        </w:tc>
      </w:tr>
      <w:tr w:rsidR="00B61E2B" w:rsidRPr="0014205D" w14:paraId="5C839302" w14:textId="77777777" w:rsidTr="00B61E2B">
        <w:trPr>
          <w:trHeight w:val="1020"/>
        </w:trPr>
        <w:tc>
          <w:tcPr>
            <w:tcW w:w="2093" w:type="dxa"/>
            <w:vMerge/>
          </w:tcPr>
          <w:p w14:paraId="5C8392FE" w14:textId="77777777" w:rsidR="00B61E2B" w:rsidRPr="0014205D" w:rsidRDefault="00B61E2B" w:rsidP="004A5247">
            <w:pPr>
              <w:spacing w:before="60" w:after="60"/>
              <w:ind w:left="126"/>
              <w:rPr>
                <w:rFonts w:cs="Arial"/>
                <w:color w:val="auto"/>
              </w:rPr>
            </w:pPr>
          </w:p>
        </w:tc>
        <w:tc>
          <w:tcPr>
            <w:tcW w:w="1483" w:type="dxa"/>
          </w:tcPr>
          <w:p w14:paraId="5C8392FF" w14:textId="77777777" w:rsidR="00B61E2B" w:rsidRPr="0014205D" w:rsidRDefault="00B61E2B" w:rsidP="004A5247">
            <w:pPr>
              <w:spacing w:before="60" w:after="60"/>
              <w:ind w:left="-14"/>
              <w:rPr>
                <w:rFonts w:cs="Arial"/>
                <w:color w:val="auto"/>
              </w:rPr>
            </w:pPr>
            <w:r w:rsidRPr="0014205D">
              <w:rPr>
                <w:rFonts w:cs="Arial"/>
                <w:color w:val="auto"/>
              </w:rPr>
              <w:t>Section 82 and 89</w:t>
            </w:r>
          </w:p>
        </w:tc>
        <w:tc>
          <w:tcPr>
            <w:tcW w:w="3053" w:type="dxa"/>
          </w:tcPr>
          <w:p w14:paraId="5C839300" w14:textId="77777777" w:rsidR="00B61E2B" w:rsidRPr="0014205D" w:rsidRDefault="00B61E2B" w:rsidP="004A5247">
            <w:pPr>
              <w:spacing w:before="60" w:after="60"/>
              <w:ind w:left="-14"/>
              <w:rPr>
                <w:rFonts w:cs="Arial"/>
                <w:color w:val="auto"/>
              </w:rPr>
            </w:pPr>
            <w:r w:rsidRPr="0014205D">
              <w:rPr>
                <w:rFonts w:cs="Arial"/>
                <w:color w:val="auto"/>
              </w:rPr>
              <w:t xml:space="preserve">Receiving election expense declarations and </w:t>
            </w:r>
            <w:r w:rsidRPr="0014205D">
              <w:rPr>
                <w:rFonts w:cs="Arial"/>
                <w:color w:val="auto"/>
              </w:rPr>
              <w:lastRenderedPageBreak/>
              <w:t>returns and holding them for the public to look at</w:t>
            </w:r>
          </w:p>
        </w:tc>
        <w:tc>
          <w:tcPr>
            <w:tcW w:w="2299" w:type="dxa"/>
          </w:tcPr>
          <w:p w14:paraId="5C839301"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lastRenderedPageBreak/>
              <w:t>Returning Officer</w:t>
            </w:r>
          </w:p>
        </w:tc>
      </w:tr>
      <w:tr w:rsidR="00B61E2B" w:rsidRPr="0014205D" w14:paraId="5C839307" w14:textId="77777777" w:rsidTr="00B61E2B">
        <w:trPr>
          <w:trHeight w:val="1020"/>
        </w:trPr>
        <w:tc>
          <w:tcPr>
            <w:tcW w:w="2093" w:type="dxa"/>
            <w:vMerge/>
          </w:tcPr>
          <w:p w14:paraId="5C839303" w14:textId="77777777" w:rsidR="00B61E2B" w:rsidRPr="0014205D" w:rsidRDefault="00B61E2B" w:rsidP="004A5247">
            <w:pPr>
              <w:spacing w:before="60"/>
              <w:ind w:left="126"/>
              <w:rPr>
                <w:rFonts w:cs="Arial"/>
                <w:color w:val="auto"/>
              </w:rPr>
            </w:pPr>
          </w:p>
        </w:tc>
        <w:tc>
          <w:tcPr>
            <w:tcW w:w="1483" w:type="dxa"/>
          </w:tcPr>
          <w:p w14:paraId="5C839304" w14:textId="77777777" w:rsidR="00B61E2B" w:rsidRPr="0014205D" w:rsidRDefault="00B61E2B" w:rsidP="005545E4">
            <w:pPr>
              <w:spacing w:before="60"/>
              <w:ind w:left="-14"/>
              <w:rPr>
                <w:rFonts w:cs="Arial"/>
                <w:color w:val="auto"/>
              </w:rPr>
            </w:pPr>
            <w:r w:rsidRPr="0014205D">
              <w:rPr>
                <w:rFonts w:cs="Arial"/>
                <w:color w:val="auto"/>
              </w:rPr>
              <w:t>Section 131</w:t>
            </w:r>
          </w:p>
        </w:tc>
        <w:tc>
          <w:tcPr>
            <w:tcW w:w="3053" w:type="dxa"/>
          </w:tcPr>
          <w:p w14:paraId="5C839305" w14:textId="77777777" w:rsidR="00B61E2B" w:rsidRPr="0014205D" w:rsidRDefault="00B61E2B" w:rsidP="005545E4">
            <w:pPr>
              <w:spacing w:before="60"/>
              <w:ind w:left="-14"/>
              <w:rPr>
                <w:rFonts w:cs="Arial"/>
                <w:color w:val="auto"/>
              </w:rPr>
            </w:pPr>
            <w:r w:rsidRPr="0014205D">
              <w:rPr>
                <w:rFonts w:cs="Arial"/>
                <w:color w:val="auto"/>
              </w:rPr>
              <w:t>Providing accommodation for holding election count</w:t>
            </w:r>
          </w:p>
        </w:tc>
        <w:tc>
          <w:tcPr>
            <w:tcW w:w="2299" w:type="dxa"/>
          </w:tcPr>
          <w:p w14:paraId="5C839306" w14:textId="77777777" w:rsidR="00B61E2B" w:rsidRPr="0014205D" w:rsidRDefault="00B61E2B" w:rsidP="005545E4">
            <w:pPr>
              <w:autoSpaceDE w:val="0"/>
              <w:autoSpaceDN w:val="0"/>
              <w:adjustRightInd w:val="0"/>
              <w:spacing w:before="60"/>
              <w:ind w:left="33" w:right="17"/>
              <w:rPr>
                <w:rFonts w:eastAsia="Batang" w:cs="Arial"/>
              </w:rPr>
            </w:pPr>
            <w:r w:rsidRPr="0014205D">
              <w:rPr>
                <w:rFonts w:eastAsia="Batang" w:cs="Arial"/>
              </w:rPr>
              <w:t>Returning Officer</w:t>
            </w:r>
          </w:p>
        </w:tc>
      </w:tr>
      <w:tr w:rsidR="0014205D" w:rsidRPr="0014205D" w14:paraId="5C83930C" w14:textId="77777777" w:rsidTr="00B61E2B">
        <w:trPr>
          <w:trHeight w:val="1020"/>
        </w:trPr>
        <w:tc>
          <w:tcPr>
            <w:tcW w:w="2093" w:type="dxa"/>
          </w:tcPr>
          <w:p w14:paraId="5C839308" w14:textId="77777777" w:rsidR="0014205D" w:rsidRPr="0014205D" w:rsidRDefault="0014205D" w:rsidP="004A5247">
            <w:pPr>
              <w:spacing w:before="60"/>
              <w:rPr>
                <w:rFonts w:cs="Arial"/>
                <w:color w:val="auto"/>
              </w:rPr>
            </w:pPr>
            <w:r w:rsidRPr="0014205D">
              <w:rPr>
                <w:rFonts w:cs="Arial"/>
                <w:color w:val="auto"/>
              </w:rPr>
              <w:t>County Courts Act 1984</w:t>
            </w:r>
          </w:p>
        </w:tc>
        <w:tc>
          <w:tcPr>
            <w:tcW w:w="1483" w:type="dxa"/>
          </w:tcPr>
          <w:p w14:paraId="5C839309" w14:textId="77777777" w:rsidR="0014205D" w:rsidRPr="0014205D" w:rsidRDefault="0014205D" w:rsidP="004A5247">
            <w:pPr>
              <w:spacing w:before="60"/>
              <w:ind w:left="-14"/>
              <w:rPr>
                <w:rFonts w:cs="Arial"/>
                <w:color w:val="auto"/>
              </w:rPr>
            </w:pPr>
            <w:r w:rsidRPr="0014205D">
              <w:rPr>
                <w:rFonts w:cs="Arial"/>
                <w:color w:val="auto"/>
              </w:rPr>
              <w:t>Section 60(2)</w:t>
            </w:r>
          </w:p>
        </w:tc>
        <w:tc>
          <w:tcPr>
            <w:tcW w:w="3053" w:type="dxa"/>
          </w:tcPr>
          <w:p w14:paraId="5C83930A" w14:textId="77777777" w:rsidR="0014205D" w:rsidRPr="0014205D" w:rsidRDefault="0014205D" w:rsidP="004A5247">
            <w:pPr>
              <w:spacing w:before="60"/>
              <w:ind w:left="-14"/>
              <w:rPr>
                <w:rFonts w:cs="Arial"/>
                <w:color w:val="auto"/>
              </w:rPr>
            </w:pPr>
            <w:r w:rsidRPr="0014205D">
              <w:rPr>
                <w:rFonts w:cs="Arial"/>
                <w:color w:val="auto"/>
              </w:rPr>
              <w:t>Rights of audience in the County Court before district judge</w:t>
            </w:r>
          </w:p>
        </w:tc>
        <w:tc>
          <w:tcPr>
            <w:tcW w:w="2299" w:type="dxa"/>
          </w:tcPr>
          <w:p w14:paraId="5C83930B" w14:textId="77777777" w:rsidR="0014205D" w:rsidRPr="0014205D" w:rsidRDefault="0014205D" w:rsidP="004A5247">
            <w:pPr>
              <w:autoSpaceDE w:val="0"/>
              <w:autoSpaceDN w:val="0"/>
              <w:adjustRightInd w:val="0"/>
              <w:spacing w:before="60"/>
              <w:ind w:left="33" w:right="17"/>
              <w:rPr>
                <w:rFonts w:eastAsia="Batang" w:cs="Arial"/>
              </w:rPr>
            </w:pPr>
            <w:r w:rsidRPr="0014205D">
              <w:rPr>
                <w:rFonts w:eastAsia="Batang" w:cs="Arial"/>
              </w:rPr>
              <w:t>Head of Law and Governance</w:t>
            </w:r>
          </w:p>
        </w:tc>
      </w:tr>
      <w:tr w:rsidR="00B61E2B" w:rsidRPr="0014205D" w14:paraId="5C839316" w14:textId="77777777" w:rsidTr="00B61E2B">
        <w:trPr>
          <w:trHeight w:val="1020"/>
        </w:trPr>
        <w:tc>
          <w:tcPr>
            <w:tcW w:w="2093" w:type="dxa"/>
            <w:vMerge w:val="restart"/>
          </w:tcPr>
          <w:p w14:paraId="5C83930D" w14:textId="77777777" w:rsidR="00B61E2B" w:rsidRPr="0014205D" w:rsidRDefault="00B61E2B" w:rsidP="004A5247">
            <w:pPr>
              <w:spacing w:before="60" w:after="60"/>
              <w:rPr>
                <w:rFonts w:cs="Arial"/>
                <w:color w:val="auto"/>
              </w:rPr>
            </w:pPr>
            <w:r w:rsidRPr="0014205D">
              <w:rPr>
                <w:rFonts w:cs="Arial"/>
                <w:color w:val="auto"/>
              </w:rPr>
              <w:t>Public Health (Control of Disease) Act 1984</w:t>
            </w:r>
          </w:p>
          <w:p w14:paraId="5C83930E" w14:textId="77777777" w:rsidR="00B61E2B" w:rsidRPr="0014205D" w:rsidRDefault="00B61E2B" w:rsidP="004A5247">
            <w:pPr>
              <w:spacing w:before="60" w:after="60"/>
              <w:ind w:left="720"/>
              <w:rPr>
                <w:rFonts w:cs="Arial"/>
                <w:color w:val="auto"/>
              </w:rPr>
            </w:pPr>
          </w:p>
          <w:p w14:paraId="5C83930F" w14:textId="77777777" w:rsidR="00B61E2B" w:rsidRPr="0014205D" w:rsidRDefault="00B61E2B" w:rsidP="004A5247">
            <w:pPr>
              <w:spacing w:before="60" w:after="60"/>
              <w:ind w:left="126"/>
              <w:rPr>
                <w:rFonts w:cs="Arial"/>
                <w:color w:val="auto"/>
              </w:rPr>
            </w:pPr>
            <w:r w:rsidRPr="0014205D">
              <w:rPr>
                <w:rFonts w:cs="Arial"/>
                <w:color w:val="auto"/>
              </w:rPr>
              <w:br w:type="page"/>
            </w:r>
          </w:p>
          <w:p w14:paraId="5C839310" w14:textId="77777777" w:rsidR="00B61E2B" w:rsidRPr="0014205D" w:rsidRDefault="00B61E2B" w:rsidP="004A5247">
            <w:pPr>
              <w:spacing w:before="60" w:after="60"/>
              <w:ind w:left="720"/>
              <w:rPr>
                <w:rFonts w:cs="Arial"/>
                <w:color w:val="auto"/>
              </w:rPr>
            </w:pPr>
            <w:r w:rsidRPr="0014205D">
              <w:rPr>
                <w:rFonts w:cs="Arial"/>
                <w:color w:val="auto"/>
              </w:rPr>
              <w:br w:type="page"/>
            </w:r>
          </w:p>
          <w:p w14:paraId="5C839311" w14:textId="77777777" w:rsidR="00B61E2B" w:rsidRPr="0014205D" w:rsidRDefault="00B61E2B" w:rsidP="004A5247">
            <w:pPr>
              <w:spacing w:before="60" w:after="60"/>
              <w:ind w:left="126"/>
              <w:rPr>
                <w:rFonts w:cs="Arial"/>
                <w:color w:val="auto"/>
              </w:rPr>
            </w:pPr>
          </w:p>
        </w:tc>
        <w:tc>
          <w:tcPr>
            <w:tcW w:w="1483" w:type="dxa"/>
          </w:tcPr>
          <w:p w14:paraId="5C839312" w14:textId="77777777" w:rsidR="00B61E2B" w:rsidRPr="0014205D" w:rsidRDefault="00B61E2B" w:rsidP="004A5247">
            <w:pPr>
              <w:spacing w:before="60" w:after="60"/>
              <w:ind w:left="-14"/>
              <w:rPr>
                <w:rFonts w:cs="Arial"/>
                <w:color w:val="auto"/>
              </w:rPr>
            </w:pPr>
            <w:r w:rsidRPr="0014205D">
              <w:rPr>
                <w:rFonts w:cs="Arial"/>
                <w:color w:val="auto"/>
              </w:rPr>
              <w:t>Section 11</w:t>
            </w:r>
          </w:p>
        </w:tc>
        <w:tc>
          <w:tcPr>
            <w:tcW w:w="3053" w:type="dxa"/>
          </w:tcPr>
          <w:p w14:paraId="5C839313" w14:textId="77777777" w:rsidR="00B61E2B" w:rsidRPr="0014205D" w:rsidRDefault="00B61E2B" w:rsidP="004A5247">
            <w:pPr>
              <w:spacing w:before="60" w:after="60"/>
              <w:ind w:left="33"/>
              <w:rPr>
                <w:rFonts w:cs="Arial"/>
                <w:color w:val="auto"/>
              </w:rPr>
            </w:pPr>
            <w:r w:rsidRPr="0014205D">
              <w:rPr>
                <w:rFonts w:cs="Arial"/>
                <w:color w:val="auto"/>
              </w:rPr>
              <w:t>Being told about cases of notifiable disease or food poisoning</w:t>
            </w:r>
          </w:p>
          <w:p w14:paraId="5C839314" w14:textId="77777777" w:rsidR="00B61E2B" w:rsidRPr="0014205D" w:rsidRDefault="00B61E2B" w:rsidP="004A5247">
            <w:pPr>
              <w:spacing w:before="60" w:after="60"/>
              <w:ind w:left="-14"/>
              <w:rPr>
                <w:rFonts w:cs="Arial"/>
                <w:color w:val="auto"/>
              </w:rPr>
            </w:pPr>
          </w:p>
        </w:tc>
        <w:tc>
          <w:tcPr>
            <w:tcW w:w="2299" w:type="dxa"/>
          </w:tcPr>
          <w:p w14:paraId="5C839315"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 xml:space="preserve">The Consultants in Communicable Disease Control (CCDC) and Consultants in Health Protection (CHP) employed within the Public Health England </w:t>
            </w:r>
            <w:proofErr w:type="gramStart"/>
            <w:r w:rsidRPr="0014205D">
              <w:rPr>
                <w:rFonts w:eastAsia="Batang" w:cs="Arial"/>
              </w:rPr>
              <w:t>South East</w:t>
            </w:r>
            <w:proofErr w:type="gramEnd"/>
            <w:r w:rsidRPr="0014205D">
              <w:rPr>
                <w:rFonts w:eastAsia="Batang" w:cs="Arial"/>
              </w:rPr>
              <w:t xml:space="preserve"> region</w:t>
            </w:r>
          </w:p>
        </w:tc>
      </w:tr>
      <w:tr w:rsidR="00B61E2B" w:rsidRPr="0014205D" w14:paraId="5C83931C" w14:textId="77777777" w:rsidTr="00B61E2B">
        <w:trPr>
          <w:trHeight w:val="1020"/>
        </w:trPr>
        <w:tc>
          <w:tcPr>
            <w:tcW w:w="2093" w:type="dxa"/>
            <w:vMerge/>
          </w:tcPr>
          <w:p w14:paraId="5C839317" w14:textId="77777777" w:rsidR="00B61E2B" w:rsidRPr="0014205D" w:rsidRDefault="00B61E2B" w:rsidP="004A5247">
            <w:pPr>
              <w:spacing w:before="60" w:after="60"/>
              <w:ind w:left="126"/>
              <w:rPr>
                <w:rFonts w:cs="Arial"/>
                <w:color w:val="auto"/>
              </w:rPr>
            </w:pPr>
          </w:p>
        </w:tc>
        <w:tc>
          <w:tcPr>
            <w:tcW w:w="1483" w:type="dxa"/>
          </w:tcPr>
          <w:p w14:paraId="5C839318" w14:textId="77777777" w:rsidR="00B61E2B" w:rsidRPr="0014205D" w:rsidRDefault="00B61E2B" w:rsidP="004A5247">
            <w:pPr>
              <w:spacing w:before="60" w:after="60"/>
              <w:ind w:left="-14"/>
              <w:rPr>
                <w:rFonts w:cs="Arial"/>
                <w:color w:val="auto"/>
              </w:rPr>
            </w:pPr>
            <w:r w:rsidRPr="0014205D">
              <w:rPr>
                <w:rFonts w:cs="Arial"/>
                <w:color w:val="auto"/>
              </w:rPr>
              <w:t>Section 18</w:t>
            </w:r>
          </w:p>
        </w:tc>
        <w:tc>
          <w:tcPr>
            <w:tcW w:w="3053" w:type="dxa"/>
          </w:tcPr>
          <w:p w14:paraId="5C839319" w14:textId="77777777" w:rsidR="00B61E2B" w:rsidRPr="0014205D" w:rsidRDefault="00B61E2B" w:rsidP="004A5247">
            <w:pPr>
              <w:spacing w:before="60" w:after="60"/>
              <w:ind w:left="33"/>
              <w:rPr>
                <w:rFonts w:cs="Arial"/>
                <w:color w:val="auto"/>
              </w:rPr>
            </w:pPr>
            <w:r w:rsidRPr="0014205D">
              <w:rPr>
                <w:rFonts w:cs="Arial"/>
                <w:color w:val="auto"/>
              </w:rPr>
              <w:t>Getting information about cases of notifiable disease or food poisoning</w:t>
            </w:r>
          </w:p>
          <w:p w14:paraId="5C83931A" w14:textId="77777777" w:rsidR="00B61E2B" w:rsidRPr="0014205D" w:rsidRDefault="00B61E2B" w:rsidP="004A5247">
            <w:pPr>
              <w:spacing w:before="60" w:after="60"/>
              <w:ind w:left="-14"/>
              <w:rPr>
                <w:rFonts w:cs="Arial"/>
                <w:color w:val="auto"/>
              </w:rPr>
            </w:pPr>
          </w:p>
        </w:tc>
        <w:tc>
          <w:tcPr>
            <w:tcW w:w="2299" w:type="dxa"/>
          </w:tcPr>
          <w:p w14:paraId="5C83931B"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 xml:space="preserve">The Consultants in Communicable Disease Control (CCDC) and Consultants in Health Protection (CHP) employed within the Public Health England </w:t>
            </w:r>
            <w:proofErr w:type="gramStart"/>
            <w:r w:rsidRPr="0014205D">
              <w:rPr>
                <w:rFonts w:eastAsia="Batang" w:cs="Arial"/>
              </w:rPr>
              <w:t>South East</w:t>
            </w:r>
            <w:proofErr w:type="gramEnd"/>
            <w:r w:rsidRPr="0014205D">
              <w:rPr>
                <w:rFonts w:eastAsia="Batang" w:cs="Arial"/>
              </w:rPr>
              <w:t xml:space="preserve"> region</w:t>
            </w:r>
          </w:p>
        </w:tc>
      </w:tr>
      <w:tr w:rsidR="00B61E2B" w:rsidRPr="0014205D" w14:paraId="5C839322" w14:textId="77777777" w:rsidTr="00B61E2B">
        <w:trPr>
          <w:trHeight w:val="1020"/>
        </w:trPr>
        <w:tc>
          <w:tcPr>
            <w:tcW w:w="2093" w:type="dxa"/>
            <w:vMerge/>
          </w:tcPr>
          <w:p w14:paraId="5C83931D" w14:textId="77777777" w:rsidR="00B61E2B" w:rsidRPr="0014205D" w:rsidRDefault="00B61E2B" w:rsidP="004A5247">
            <w:pPr>
              <w:spacing w:before="60" w:after="60"/>
              <w:ind w:left="126"/>
              <w:rPr>
                <w:rFonts w:cs="Arial"/>
                <w:color w:val="auto"/>
              </w:rPr>
            </w:pPr>
          </w:p>
        </w:tc>
        <w:tc>
          <w:tcPr>
            <w:tcW w:w="1483" w:type="dxa"/>
          </w:tcPr>
          <w:p w14:paraId="5C83931E" w14:textId="77777777" w:rsidR="00B61E2B" w:rsidRPr="0014205D" w:rsidRDefault="00B61E2B" w:rsidP="004A5247">
            <w:pPr>
              <w:spacing w:before="60" w:after="60"/>
              <w:ind w:left="-14"/>
              <w:rPr>
                <w:rFonts w:cs="Arial"/>
                <w:color w:val="auto"/>
              </w:rPr>
            </w:pPr>
            <w:r w:rsidRPr="0014205D">
              <w:rPr>
                <w:rFonts w:cs="Arial"/>
                <w:color w:val="auto"/>
              </w:rPr>
              <w:t>Section 20</w:t>
            </w:r>
          </w:p>
        </w:tc>
        <w:tc>
          <w:tcPr>
            <w:tcW w:w="3053" w:type="dxa"/>
          </w:tcPr>
          <w:p w14:paraId="5C83931F" w14:textId="77777777" w:rsidR="00B61E2B" w:rsidRPr="0014205D" w:rsidRDefault="00B61E2B" w:rsidP="004A5247">
            <w:pPr>
              <w:spacing w:before="60" w:after="60"/>
              <w:ind w:left="33"/>
              <w:rPr>
                <w:rFonts w:cs="Arial"/>
                <w:color w:val="auto"/>
              </w:rPr>
            </w:pPr>
            <w:r w:rsidRPr="0014205D">
              <w:rPr>
                <w:rFonts w:cs="Arial"/>
                <w:color w:val="auto"/>
              </w:rPr>
              <w:t xml:space="preserve">Stopping of work to prevent disease </w:t>
            </w:r>
            <w:proofErr w:type="gramStart"/>
            <w:r w:rsidRPr="0014205D">
              <w:rPr>
                <w:rFonts w:cs="Arial"/>
                <w:color w:val="auto"/>
              </w:rPr>
              <w:t>spreading</w:t>
            </w:r>
            <w:proofErr w:type="gramEnd"/>
          </w:p>
          <w:p w14:paraId="5C839320" w14:textId="77777777" w:rsidR="00B61E2B" w:rsidRPr="0014205D" w:rsidRDefault="00B61E2B" w:rsidP="004A5247">
            <w:pPr>
              <w:spacing w:before="60" w:after="60"/>
              <w:ind w:left="-14"/>
              <w:rPr>
                <w:rFonts w:cs="Arial"/>
                <w:color w:val="auto"/>
              </w:rPr>
            </w:pPr>
          </w:p>
        </w:tc>
        <w:tc>
          <w:tcPr>
            <w:tcW w:w="2299" w:type="dxa"/>
          </w:tcPr>
          <w:p w14:paraId="5C839321"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 xml:space="preserve">The Consultants in Communicable Disease Control (CCDC) and Consultants in Health Protection (CHP) employed within the Public Health England </w:t>
            </w:r>
            <w:proofErr w:type="gramStart"/>
            <w:r w:rsidRPr="0014205D">
              <w:rPr>
                <w:rFonts w:eastAsia="Batang" w:cs="Arial"/>
              </w:rPr>
              <w:t>South East</w:t>
            </w:r>
            <w:proofErr w:type="gramEnd"/>
            <w:r w:rsidRPr="0014205D">
              <w:rPr>
                <w:rFonts w:eastAsia="Batang" w:cs="Arial"/>
              </w:rPr>
              <w:t xml:space="preserve"> region</w:t>
            </w:r>
          </w:p>
        </w:tc>
      </w:tr>
      <w:tr w:rsidR="00B61E2B" w:rsidRPr="0014205D" w14:paraId="5C839328" w14:textId="77777777" w:rsidTr="00B61E2B">
        <w:trPr>
          <w:trHeight w:val="1020"/>
        </w:trPr>
        <w:tc>
          <w:tcPr>
            <w:tcW w:w="2093" w:type="dxa"/>
            <w:vMerge/>
          </w:tcPr>
          <w:p w14:paraId="5C839323" w14:textId="77777777" w:rsidR="00B61E2B" w:rsidRPr="0014205D" w:rsidRDefault="00B61E2B" w:rsidP="004A5247">
            <w:pPr>
              <w:spacing w:before="60" w:after="60"/>
              <w:ind w:left="126"/>
              <w:rPr>
                <w:rFonts w:cs="Arial"/>
                <w:color w:val="auto"/>
              </w:rPr>
            </w:pPr>
          </w:p>
        </w:tc>
        <w:tc>
          <w:tcPr>
            <w:tcW w:w="1483" w:type="dxa"/>
          </w:tcPr>
          <w:p w14:paraId="5C839324" w14:textId="77777777" w:rsidR="00B61E2B" w:rsidRPr="0014205D" w:rsidRDefault="00B61E2B" w:rsidP="004A5247">
            <w:pPr>
              <w:spacing w:before="60" w:after="60"/>
              <w:ind w:left="-14"/>
              <w:rPr>
                <w:rFonts w:cs="Arial"/>
                <w:color w:val="auto"/>
              </w:rPr>
            </w:pPr>
            <w:r w:rsidRPr="0014205D">
              <w:rPr>
                <w:rFonts w:cs="Arial"/>
                <w:color w:val="auto"/>
              </w:rPr>
              <w:t>Section 21</w:t>
            </w:r>
          </w:p>
        </w:tc>
        <w:tc>
          <w:tcPr>
            <w:tcW w:w="3053" w:type="dxa"/>
          </w:tcPr>
          <w:p w14:paraId="5C839325" w14:textId="77777777" w:rsidR="00B61E2B" w:rsidRPr="0014205D" w:rsidRDefault="00B61E2B" w:rsidP="004A5247">
            <w:pPr>
              <w:spacing w:before="60" w:after="60"/>
              <w:ind w:left="33"/>
              <w:rPr>
                <w:rFonts w:cs="Arial"/>
                <w:color w:val="auto"/>
              </w:rPr>
            </w:pPr>
            <w:r w:rsidRPr="0014205D">
              <w:rPr>
                <w:rFonts w:cs="Arial"/>
                <w:color w:val="auto"/>
              </w:rPr>
              <w:t xml:space="preserve">Excluding children from school if they are likely to carry a notifiable </w:t>
            </w:r>
            <w:proofErr w:type="gramStart"/>
            <w:r w:rsidRPr="0014205D">
              <w:rPr>
                <w:rFonts w:cs="Arial"/>
                <w:color w:val="auto"/>
              </w:rPr>
              <w:t>disease</w:t>
            </w:r>
            <w:proofErr w:type="gramEnd"/>
          </w:p>
          <w:p w14:paraId="5C839326" w14:textId="77777777" w:rsidR="00B61E2B" w:rsidRPr="0014205D" w:rsidRDefault="00B61E2B" w:rsidP="004A5247">
            <w:pPr>
              <w:spacing w:before="60" w:after="60"/>
              <w:ind w:left="-14"/>
              <w:rPr>
                <w:rFonts w:cs="Arial"/>
                <w:color w:val="auto"/>
              </w:rPr>
            </w:pPr>
          </w:p>
        </w:tc>
        <w:tc>
          <w:tcPr>
            <w:tcW w:w="2299" w:type="dxa"/>
          </w:tcPr>
          <w:p w14:paraId="5C839327"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 xml:space="preserve">The Consultants in Communicable Disease Control (CCDC) and Consultants in Health Protection </w:t>
            </w:r>
            <w:r w:rsidRPr="0014205D">
              <w:rPr>
                <w:rFonts w:eastAsia="Batang" w:cs="Arial"/>
              </w:rPr>
              <w:lastRenderedPageBreak/>
              <w:t xml:space="preserve">(CHP) employed within the Public Health England </w:t>
            </w:r>
            <w:proofErr w:type="gramStart"/>
            <w:r w:rsidRPr="0014205D">
              <w:rPr>
                <w:rFonts w:eastAsia="Batang" w:cs="Arial"/>
              </w:rPr>
              <w:t>South East</w:t>
            </w:r>
            <w:proofErr w:type="gramEnd"/>
            <w:r w:rsidRPr="0014205D">
              <w:rPr>
                <w:rFonts w:eastAsia="Batang" w:cs="Arial"/>
              </w:rPr>
              <w:t xml:space="preserve"> region</w:t>
            </w:r>
          </w:p>
        </w:tc>
      </w:tr>
      <w:tr w:rsidR="00B61E2B" w:rsidRPr="0014205D" w14:paraId="5C83932E" w14:textId="77777777" w:rsidTr="00B61E2B">
        <w:trPr>
          <w:trHeight w:val="1020"/>
        </w:trPr>
        <w:tc>
          <w:tcPr>
            <w:tcW w:w="2093" w:type="dxa"/>
            <w:vMerge/>
          </w:tcPr>
          <w:p w14:paraId="5C839329" w14:textId="77777777" w:rsidR="00B61E2B" w:rsidRPr="0014205D" w:rsidRDefault="00B61E2B" w:rsidP="004A5247">
            <w:pPr>
              <w:spacing w:before="60" w:after="60"/>
              <w:ind w:left="126"/>
              <w:rPr>
                <w:rFonts w:cs="Arial"/>
                <w:color w:val="auto"/>
              </w:rPr>
            </w:pPr>
          </w:p>
        </w:tc>
        <w:tc>
          <w:tcPr>
            <w:tcW w:w="1483" w:type="dxa"/>
          </w:tcPr>
          <w:p w14:paraId="5C83932A" w14:textId="77777777" w:rsidR="00B61E2B" w:rsidRPr="0014205D" w:rsidRDefault="00B61E2B" w:rsidP="004A5247">
            <w:pPr>
              <w:spacing w:before="60" w:after="60"/>
              <w:ind w:left="-14"/>
              <w:rPr>
                <w:rFonts w:cs="Arial"/>
                <w:color w:val="auto"/>
              </w:rPr>
            </w:pPr>
            <w:r w:rsidRPr="0014205D">
              <w:rPr>
                <w:rFonts w:cs="Arial"/>
                <w:color w:val="auto"/>
              </w:rPr>
              <w:t>Section 22</w:t>
            </w:r>
          </w:p>
        </w:tc>
        <w:tc>
          <w:tcPr>
            <w:tcW w:w="3053" w:type="dxa"/>
          </w:tcPr>
          <w:p w14:paraId="5C83932B" w14:textId="77777777" w:rsidR="00B61E2B" w:rsidRPr="0014205D" w:rsidRDefault="00B61E2B" w:rsidP="004A5247">
            <w:pPr>
              <w:spacing w:before="60" w:after="60"/>
              <w:ind w:left="33"/>
              <w:rPr>
                <w:rFonts w:cs="Arial"/>
                <w:color w:val="auto"/>
              </w:rPr>
            </w:pPr>
            <w:r w:rsidRPr="0014205D">
              <w:rPr>
                <w:rFonts w:cs="Arial"/>
                <w:color w:val="auto"/>
              </w:rPr>
              <w:t xml:space="preserve">Asking for the names and addresses of pupils at a school or department of a </w:t>
            </w:r>
            <w:proofErr w:type="gramStart"/>
            <w:r w:rsidRPr="0014205D">
              <w:rPr>
                <w:rFonts w:cs="Arial"/>
                <w:color w:val="auto"/>
              </w:rPr>
              <w:t>school</w:t>
            </w:r>
            <w:proofErr w:type="gramEnd"/>
          </w:p>
          <w:p w14:paraId="5C83932C" w14:textId="77777777" w:rsidR="00B61E2B" w:rsidRPr="0014205D" w:rsidRDefault="00B61E2B" w:rsidP="004A5247">
            <w:pPr>
              <w:spacing w:before="60" w:after="60"/>
              <w:ind w:left="-14"/>
              <w:rPr>
                <w:rFonts w:cs="Arial"/>
                <w:color w:val="auto"/>
              </w:rPr>
            </w:pPr>
          </w:p>
        </w:tc>
        <w:tc>
          <w:tcPr>
            <w:tcW w:w="2299" w:type="dxa"/>
          </w:tcPr>
          <w:p w14:paraId="5C83932D"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 xml:space="preserve">The Consultants in Communicable Disease Control (CCDC) and Consultants in Health Protection (CHP) employed within the Public Health England </w:t>
            </w:r>
            <w:proofErr w:type="gramStart"/>
            <w:r w:rsidRPr="0014205D">
              <w:rPr>
                <w:rFonts w:eastAsia="Batang" w:cs="Arial"/>
              </w:rPr>
              <w:t>South East</w:t>
            </w:r>
            <w:proofErr w:type="gramEnd"/>
            <w:r w:rsidRPr="0014205D">
              <w:rPr>
                <w:rFonts w:eastAsia="Batang" w:cs="Arial"/>
              </w:rPr>
              <w:t xml:space="preserve"> region</w:t>
            </w:r>
          </w:p>
        </w:tc>
      </w:tr>
      <w:tr w:rsidR="00B61E2B" w:rsidRPr="0014205D" w14:paraId="5C839333" w14:textId="77777777" w:rsidTr="00B61E2B">
        <w:trPr>
          <w:trHeight w:val="1020"/>
        </w:trPr>
        <w:tc>
          <w:tcPr>
            <w:tcW w:w="2093" w:type="dxa"/>
            <w:vMerge/>
          </w:tcPr>
          <w:p w14:paraId="5C83932F" w14:textId="77777777" w:rsidR="00B61E2B" w:rsidRPr="0014205D" w:rsidRDefault="00B61E2B" w:rsidP="004A5247">
            <w:pPr>
              <w:spacing w:before="60" w:after="60"/>
              <w:ind w:left="126"/>
              <w:rPr>
                <w:rFonts w:cs="Arial"/>
                <w:color w:val="auto"/>
              </w:rPr>
            </w:pPr>
          </w:p>
        </w:tc>
        <w:tc>
          <w:tcPr>
            <w:tcW w:w="1483" w:type="dxa"/>
          </w:tcPr>
          <w:p w14:paraId="5C839330" w14:textId="77777777" w:rsidR="00B61E2B" w:rsidRPr="0014205D" w:rsidRDefault="00B61E2B" w:rsidP="004A5247">
            <w:pPr>
              <w:spacing w:before="60" w:after="60"/>
              <w:ind w:left="-14"/>
              <w:rPr>
                <w:rFonts w:cs="Arial"/>
                <w:color w:val="auto"/>
              </w:rPr>
            </w:pPr>
            <w:r w:rsidRPr="0014205D">
              <w:rPr>
                <w:rFonts w:cs="Arial"/>
                <w:color w:val="auto"/>
              </w:rPr>
              <w:t>Section 32</w:t>
            </w:r>
          </w:p>
        </w:tc>
        <w:tc>
          <w:tcPr>
            <w:tcW w:w="3053" w:type="dxa"/>
          </w:tcPr>
          <w:p w14:paraId="5C839331" w14:textId="77777777" w:rsidR="00B61E2B" w:rsidRPr="0014205D" w:rsidRDefault="00B61E2B" w:rsidP="004A5247">
            <w:pPr>
              <w:spacing w:before="60" w:after="60"/>
              <w:ind w:left="33"/>
              <w:rPr>
                <w:rFonts w:cs="Arial"/>
                <w:color w:val="auto"/>
              </w:rPr>
            </w:pPr>
            <w:r w:rsidRPr="0014205D">
              <w:rPr>
                <w:rFonts w:cs="Arial"/>
                <w:color w:val="auto"/>
              </w:rPr>
              <w:t>Certifying the need to remove someone from an infected house</w:t>
            </w:r>
          </w:p>
        </w:tc>
        <w:tc>
          <w:tcPr>
            <w:tcW w:w="2299" w:type="dxa"/>
          </w:tcPr>
          <w:p w14:paraId="5C839332"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Regulatory Services and Community Safety</w:t>
            </w:r>
          </w:p>
        </w:tc>
      </w:tr>
      <w:tr w:rsidR="00B61E2B" w:rsidRPr="0014205D" w14:paraId="5C839339" w14:textId="77777777" w:rsidTr="00B61E2B">
        <w:trPr>
          <w:trHeight w:val="1020"/>
        </w:trPr>
        <w:tc>
          <w:tcPr>
            <w:tcW w:w="2093" w:type="dxa"/>
            <w:vMerge/>
          </w:tcPr>
          <w:p w14:paraId="5C839334" w14:textId="77777777" w:rsidR="00B61E2B" w:rsidRPr="0014205D" w:rsidRDefault="00B61E2B" w:rsidP="004A5247">
            <w:pPr>
              <w:spacing w:before="60"/>
              <w:ind w:left="126"/>
              <w:rPr>
                <w:rFonts w:cs="Arial"/>
                <w:color w:val="auto"/>
              </w:rPr>
            </w:pPr>
          </w:p>
        </w:tc>
        <w:tc>
          <w:tcPr>
            <w:tcW w:w="1483" w:type="dxa"/>
          </w:tcPr>
          <w:p w14:paraId="5C839335" w14:textId="77777777" w:rsidR="00B61E2B" w:rsidRPr="0014205D" w:rsidRDefault="00B61E2B" w:rsidP="005545E4">
            <w:pPr>
              <w:spacing w:before="60"/>
              <w:ind w:left="-14"/>
              <w:rPr>
                <w:rFonts w:cs="Arial"/>
                <w:color w:val="auto"/>
              </w:rPr>
            </w:pPr>
            <w:r w:rsidRPr="0014205D">
              <w:rPr>
                <w:rFonts w:cs="Arial"/>
                <w:color w:val="auto"/>
              </w:rPr>
              <w:t>Section 36</w:t>
            </w:r>
          </w:p>
        </w:tc>
        <w:tc>
          <w:tcPr>
            <w:tcW w:w="3053" w:type="dxa"/>
          </w:tcPr>
          <w:p w14:paraId="5C839336" w14:textId="77777777" w:rsidR="00B61E2B" w:rsidRPr="0014205D" w:rsidRDefault="00B61E2B" w:rsidP="005545E4">
            <w:pPr>
              <w:spacing w:before="60"/>
              <w:ind w:left="33"/>
              <w:rPr>
                <w:rFonts w:cs="Arial"/>
                <w:color w:val="auto"/>
              </w:rPr>
            </w:pPr>
            <w:r w:rsidRPr="0014205D">
              <w:rPr>
                <w:rFonts w:cs="Arial"/>
                <w:color w:val="auto"/>
              </w:rPr>
              <w:t xml:space="preserve">Issuing certificates to get an order to examine people believed to be carrying notifiable </w:t>
            </w:r>
            <w:proofErr w:type="gramStart"/>
            <w:r w:rsidRPr="0014205D">
              <w:rPr>
                <w:rFonts w:cs="Arial"/>
                <w:color w:val="auto"/>
              </w:rPr>
              <w:t>diseases</w:t>
            </w:r>
            <w:proofErr w:type="gramEnd"/>
          </w:p>
          <w:p w14:paraId="5C839337" w14:textId="77777777" w:rsidR="00B61E2B" w:rsidRPr="0014205D" w:rsidRDefault="00B61E2B" w:rsidP="005545E4">
            <w:pPr>
              <w:spacing w:before="60"/>
              <w:ind w:left="-14"/>
              <w:rPr>
                <w:rFonts w:cs="Arial"/>
                <w:color w:val="auto"/>
              </w:rPr>
            </w:pPr>
          </w:p>
        </w:tc>
        <w:tc>
          <w:tcPr>
            <w:tcW w:w="2299" w:type="dxa"/>
          </w:tcPr>
          <w:p w14:paraId="5C839338" w14:textId="77777777" w:rsidR="00B61E2B" w:rsidRPr="0014205D" w:rsidRDefault="00B61E2B" w:rsidP="005545E4">
            <w:pPr>
              <w:autoSpaceDE w:val="0"/>
              <w:autoSpaceDN w:val="0"/>
              <w:adjustRightInd w:val="0"/>
              <w:spacing w:before="60"/>
              <w:ind w:left="33" w:right="17"/>
              <w:rPr>
                <w:rFonts w:eastAsia="Batang" w:cs="Arial"/>
              </w:rPr>
            </w:pPr>
            <w:r w:rsidRPr="0014205D">
              <w:rPr>
                <w:rFonts w:eastAsia="Batang" w:cs="Arial"/>
              </w:rPr>
              <w:t xml:space="preserve">The Consultants in Communicable Disease Control (CCDC) and Consultants in Health Protection (CHP) employed within the Public Health England </w:t>
            </w:r>
            <w:proofErr w:type="gramStart"/>
            <w:r w:rsidRPr="0014205D">
              <w:rPr>
                <w:rFonts w:eastAsia="Batang" w:cs="Arial"/>
              </w:rPr>
              <w:t>South East</w:t>
            </w:r>
            <w:proofErr w:type="gramEnd"/>
            <w:r w:rsidRPr="0014205D">
              <w:rPr>
                <w:rFonts w:eastAsia="Batang" w:cs="Arial"/>
              </w:rPr>
              <w:t xml:space="preserve"> region</w:t>
            </w:r>
          </w:p>
        </w:tc>
      </w:tr>
      <w:tr w:rsidR="00B61E2B" w:rsidRPr="0014205D" w14:paraId="5C83933E" w14:textId="77777777" w:rsidTr="00B61E2B">
        <w:trPr>
          <w:trHeight w:val="1020"/>
        </w:trPr>
        <w:tc>
          <w:tcPr>
            <w:tcW w:w="2093" w:type="dxa"/>
            <w:vMerge w:val="restart"/>
          </w:tcPr>
          <w:p w14:paraId="5C83933A" w14:textId="77777777" w:rsidR="00B61E2B" w:rsidRPr="0014205D" w:rsidRDefault="00B61E2B" w:rsidP="004A5247">
            <w:pPr>
              <w:spacing w:before="60" w:after="60"/>
              <w:rPr>
                <w:rFonts w:cs="Arial"/>
                <w:color w:val="auto"/>
              </w:rPr>
            </w:pPr>
            <w:r w:rsidRPr="0014205D">
              <w:rPr>
                <w:rFonts w:cs="Arial"/>
                <w:color w:val="auto"/>
              </w:rPr>
              <w:t>Local Government and Housing Act 1989</w:t>
            </w:r>
          </w:p>
        </w:tc>
        <w:tc>
          <w:tcPr>
            <w:tcW w:w="1483" w:type="dxa"/>
          </w:tcPr>
          <w:p w14:paraId="5C83933B" w14:textId="77777777" w:rsidR="00B61E2B" w:rsidRPr="0014205D" w:rsidRDefault="00B61E2B" w:rsidP="004A5247">
            <w:pPr>
              <w:spacing w:before="60" w:after="60"/>
              <w:rPr>
                <w:rFonts w:cs="Arial"/>
                <w:color w:val="auto"/>
              </w:rPr>
            </w:pPr>
            <w:r w:rsidRPr="0014205D">
              <w:rPr>
                <w:rFonts w:cs="Arial"/>
                <w:color w:val="auto"/>
              </w:rPr>
              <w:t>Section 2(4)</w:t>
            </w:r>
          </w:p>
        </w:tc>
        <w:tc>
          <w:tcPr>
            <w:tcW w:w="3053" w:type="dxa"/>
          </w:tcPr>
          <w:p w14:paraId="5C83933C" w14:textId="77777777" w:rsidR="00B61E2B" w:rsidRPr="0014205D" w:rsidRDefault="00B61E2B" w:rsidP="004A5247">
            <w:pPr>
              <w:spacing w:before="60" w:after="60"/>
              <w:rPr>
                <w:rFonts w:cs="Arial"/>
                <w:color w:val="auto"/>
              </w:rPr>
            </w:pPr>
            <w:r w:rsidRPr="0014205D">
              <w:rPr>
                <w:rFonts w:cs="Arial"/>
                <w:color w:val="auto"/>
              </w:rPr>
              <w:t>Keeping the list of politically restricted posts</w:t>
            </w:r>
          </w:p>
        </w:tc>
        <w:tc>
          <w:tcPr>
            <w:tcW w:w="2299" w:type="dxa"/>
          </w:tcPr>
          <w:p w14:paraId="5C83933D" w14:textId="77777777" w:rsidR="00B61E2B" w:rsidRPr="0014205D" w:rsidRDefault="00532E5D" w:rsidP="004A5247">
            <w:pPr>
              <w:autoSpaceDE w:val="0"/>
              <w:autoSpaceDN w:val="0"/>
              <w:adjustRightInd w:val="0"/>
              <w:spacing w:before="60" w:after="60"/>
              <w:ind w:left="33" w:right="17"/>
              <w:rPr>
                <w:rFonts w:eastAsia="Batang" w:cs="Arial"/>
              </w:rPr>
            </w:pPr>
            <w:r>
              <w:rPr>
                <w:rFonts w:eastAsia="Batang" w:cs="Arial"/>
              </w:rPr>
              <w:t>Head of Business Improvement</w:t>
            </w:r>
          </w:p>
        </w:tc>
      </w:tr>
      <w:tr w:rsidR="00B61E2B" w:rsidRPr="0014205D" w14:paraId="5C839343" w14:textId="77777777" w:rsidTr="00B61E2B">
        <w:trPr>
          <w:trHeight w:val="1020"/>
        </w:trPr>
        <w:tc>
          <w:tcPr>
            <w:tcW w:w="2093" w:type="dxa"/>
            <w:vMerge/>
          </w:tcPr>
          <w:p w14:paraId="5C83933F" w14:textId="77777777" w:rsidR="00B61E2B" w:rsidRPr="0014205D" w:rsidRDefault="00B61E2B" w:rsidP="004A5247">
            <w:pPr>
              <w:spacing w:before="60" w:after="60"/>
              <w:rPr>
                <w:rFonts w:cs="Arial"/>
                <w:color w:val="auto"/>
              </w:rPr>
            </w:pPr>
          </w:p>
        </w:tc>
        <w:tc>
          <w:tcPr>
            <w:tcW w:w="1483" w:type="dxa"/>
          </w:tcPr>
          <w:p w14:paraId="5C839340" w14:textId="77777777" w:rsidR="00B61E2B" w:rsidRPr="0014205D" w:rsidRDefault="00B61E2B" w:rsidP="004A5247">
            <w:pPr>
              <w:spacing w:before="60" w:after="60"/>
              <w:rPr>
                <w:rFonts w:cs="Arial"/>
                <w:color w:val="auto"/>
              </w:rPr>
            </w:pPr>
            <w:r w:rsidRPr="0014205D">
              <w:rPr>
                <w:rFonts w:cs="Arial"/>
                <w:color w:val="auto"/>
              </w:rPr>
              <w:t>Section 15-17</w:t>
            </w:r>
          </w:p>
        </w:tc>
        <w:tc>
          <w:tcPr>
            <w:tcW w:w="3053" w:type="dxa"/>
          </w:tcPr>
          <w:p w14:paraId="5C839341" w14:textId="77777777" w:rsidR="00B61E2B" w:rsidRPr="0014205D" w:rsidRDefault="00B61E2B" w:rsidP="004A5247">
            <w:pPr>
              <w:spacing w:before="60" w:after="60"/>
              <w:rPr>
                <w:rFonts w:cs="Arial"/>
                <w:color w:val="auto"/>
              </w:rPr>
            </w:pPr>
            <w:r w:rsidRPr="0014205D">
              <w:rPr>
                <w:rFonts w:cs="Arial"/>
                <w:color w:val="auto"/>
              </w:rPr>
              <w:t>Allocating seats on committees</w:t>
            </w:r>
          </w:p>
        </w:tc>
        <w:tc>
          <w:tcPr>
            <w:tcW w:w="2299" w:type="dxa"/>
          </w:tcPr>
          <w:p w14:paraId="5C839342"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48" w14:textId="77777777" w:rsidTr="00B61E2B">
        <w:trPr>
          <w:trHeight w:val="1020"/>
        </w:trPr>
        <w:tc>
          <w:tcPr>
            <w:tcW w:w="2093" w:type="dxa"/>
            <w:vMerge/>
          </w:tcPr>
          <w:p w14:paraId="5C839344" w14:textId="77777777" w:rsidR="00B61E2B" w:rsidRPr="0014205D" w:rsidRDefault="00B61E2B" w:rsidP="005545E4">
            <w:pPr>
              <w:spacing w:before="60"/>
              <w:rPr>
                <w:rFonts w:cs="Arial"/>
                <w:color w:val="auto"/>
              </w:rPr>
            </w:pPr>
          </w:p>
        </w:tc>
        <w:tc>
          <w:tcPr>
            <w:tcW w:w="1483" w:type="dxa"/>
          </w:tcPr>
          <w:p w14:paraId="5C839345" w14:textId="77777777" w:rsidR="00B61E2B" w:rsidRPr="0014205D" w:rsidRDefault="00B61E2B" w:rsidP="005545E4">
            <w:pPr>
              <w:spacing w:before="60"/>
              <w:rPr>
                <w:rFonts w:cs="Arial"/>
                <w:color w:val="auto"/>
              </w:rPr>
            </w:pPr>
            <w:r w:rsidRPr="0014205D">
              <w:rPr>
                <w:rFonts w:cs="Arial"/>
                <w:color w:val="auto"/>
              </w:rPr>
              <w:t>Section 18</w:t>
            </w:r>
          </w:p>
        </w:tc>
        <w:tc>
          <w:tcPr>
            <w:tcW w:w="3053" w:type="dxa"/>
          </w:tcPr>
          <w:p w14:paraId="5C839346" w14:textId="77777777" w:rsidR="00B61E2B" w:rsidRPr="0014205D" w:rsidRDefault="00B61E2B" w:rsidP="005545E4">
            <w:pPr>
              <w:spacing w:before="60"/>
              <w:rPr>
                <w:rFonts w:cs="Arial"/>
                <w:color w:val="auto"/>
              </w:rPr>
            </w:pPr>
            <w:r w:rsidRPr="0014205D">
              <w:rPr>
                <w:rFonts w:cs="Arial"/>
                <w:color w:val="auto"/>
              </w:rPr>
              <w:t>Arrangements in respect of the scheme of members’ allowances</w:t>
            </w:r>
          </w:p>
        </w:tc>
        <w:tc>
          <w:tcPr>
            <w:tcW w:w="2299" w:type="dxa"/>
          </w:tcPr>
          <w:p w14:paraId="5C839347" w14:textId="77777777" w:rsidR="00B61E2B" w:rsidRPr="0014205D" w:rsidRDefault="00B61E2B" w:rsidP="005545E4">
            <w:pPr>
              <w:autoSpaceDE w:val="0"/>
              <w:autoSpaceDN w:val="0"/>
              <w:adjustRightInd w:val="0"/>
              <w:spacing w:before="60"/>
              <w:ind w:left="33" w:right="17"/>
              <w:rPr>
                <w:rFonts w:eastAsia="Batang" w:cs="Arial"/>
              </w:rPr>
            </w:pPr>
            <w:r w:rsidRPr="0014205D">
              <w:rPr>
                <w:rFonts w:eastAsia="Batang" w:cs="Arial"/>
              </w:rPr>
              <w:t>Head of Law and Governance</w:t>
            </w:r>
          </w:p>
        </w:tc>
      </w:tr>
      <w:tr w:rsidR="0014205D" w:rsidRPr="0014205D" w14:paraId="5C83934E" w14:textId="77777777" w:rsidTr="00B61E2B">
        <w:trPr>
          <w:trHeight w:val="1020"/>
        </w:trPr>
        <w:tc>
          <w:tcPr>
            <w:tcW w:w="2093" w:type="dxa"/>
          </w:tcPr>
          <w:p w14:paraId="5C839349" w14:textId="77777777" w:rsidR="0014205D" w:rsidRPr="0014205D" w:rsidRDefault="0014205D" w:rsidP="005545E4">
            <w:pPr>
              <w:spacing w:before="60"/>
              <w:rPr>
                <w:rFonts w:cs="Arial"/>
                <w:color w:val="auto"/>
              </w:rPr>
            </w:pPr>
            <w:r w:rsidRPr="0014205D">
              <w:rPr>
                <w:rFonts w:cs="Arial"/>
                <w:color w:val="auto"/>
              </w:rPr>
              <w:t>Local Government (Committees and Political Groups) Regulations 1990</w:t>
            </w:r>
          </w:p>
        </w:tc>
        <w:tc>
          <w:tcPr>
            <w:tcW w:w="1483" w:type="dxa"/>
          </w:tcPr>
          <w:p w14:paraId="5C83934A" w14:textId="77777777" w:rsidR="0014205D" w:rsidRPr="0014205D" w:rsidRDefault="0014205D" w:rsidP="005545E4">
            <w:pPr>
              <w:spacing w:before="60"/>
              <w:ind w:left="-6"/>
              <w:jc w:val="both"/>
              <w:rPr>
                <w:rFonts w:cs="Arial"/>
                <w:color w:val="auto"/>
              </w:rPr>
            </w:pPr>
            <w:r w:rsidRPr="0014205D">
              <w:rPr>
                <w:rFonts w:cs="Arial"/>
                <w:color w:val="auto"/>
              </w:rPr>
              <w:t>All sections</w:t>
            </w:r>
          </w:p>
          <w:p w14:paraId="5C83934B" w14:textId="77777777" w:rsidR="0014205D" w:rsidRPr="0014205D" w:rsidRDefault="0014205D" w:rsidP="005545E4">
            <w:pPr>
              <w:spacing w:before="60"/>
              <w:ind w:left="720"/>
              <w:rPr>
                <w:rFonts w:cs="Arial"/>
                <w:color w:val="auto"/>
              </w:rPr>
            </w:pPr>
          </w:p>
        </w:tc>
        <w:tc>
          <w:tcPr>
            <w:tcW w:w="3053" w:type="dxa"/>
          </w:tcPr>
          <w:p w14:paraId="5C83934C" w14:textId="77777777" w:rsidR="0014205D" w:rsidRPr="0014205D" w:rsidRDefault="0014205D" w:rsidP="005545E4">
            <w:pPr>
              <w:spacing w:before="60"/>
              <w:ind w:left="33"/>
              <w:rPr>
                <w:rFonts w:cs="Arial"/>
                <w:color w:val="auto"/>
              </w:rPr>
            </w:pPr>
            <w:r w:rsidRPr="0014205D">
              <w:rPr>
                <w:rFonts w:cs="Arial"/>
                <w:color w:val="auto"/>
              </w:rPr>
              <w:t>Dealing with membership of political groups, political balance on committees and nominations by political groups</w:t>
            </w:r>
          </w:p>
        </w:tc>
        <w:tc>
          <w:tcPr>
            <w:tcW w:w="2299" w:type="dxa"/>
          </w:tcPr>
          <w:p w14:paraId="5C83934D" w14:textId="77777777" w:rsidR="0014205D" w:rsidRPr="0014205D" w:rsidRDefault="0014205D" w:rsidP="005545E4">
            <w:pPr>
              <w:autoSpaceDE w:val="0"/>
              <w:autoSpaceDN w:val="0"/>
              <w:adjustRightInd w:val="0"/>
              <w:spacing w:before="60"/>
              <w:ind w:left="33" w:right="17"/>
              <w:rPr>
                <w:rFonts w:eastAsia="Batang" w:cs="Arial"/>
              </w:rPr>
            </w:pPr>
            <w:r w:rsidRPr="0014205D">
              <w:rPr>
                <w:rFonts w:eastAsia="Batang" w:cs="Arial"/>
              </w:rPr>
              <w:t>Head of Law and Governance</w:t>
            </w:r>
          </w:p>
        </w:tc>
      </w:tr>
      <w:tr w:rsidR="00C80E01" w:rsidRPr="00FF0F9C" w14:paraId="5C839356" w14:textId="77777777" w:rsidTr="001D41E0">
        <w:trPr>
          <w:trHeight w:val="1020"/>
        </w:trPr>
        <w:tc>
          <w:tcPr>
            <w:tcW w:w="2093" w:type="dxa"/>
          </w:tcPr>
          <w:p w14:paraId="5C83934F" w14:textId="77777777" w:rsidR="00C80E01" w:rsidRPr="00FF0F9C" w:rsidRDefault="00C80E01" w:rsidP="001D41E0">
            <w:pPr>
              <w:spacing w:before="60"/>
              <w:ind w:left="84"/>
              <w:rPr>
                <w:rFonts w:cs="Arial"/>
                <w:color w:val="auto"/>
              </w:rPr>
            </w:pPr>
            <w:r w:rsidRPr="00FF0F9C">
              <w:rPr>
                <w:rFonts w:cs="Arial"/>
                <w:color w:val="auto"/>
              </w:rPr>
              <w:lastRenderedPageBreak/>
              <w:t>Social Security Administration Act 1992</w:t>
            </w:r>
          </w:p>
          <w:p w14:paraId="5C839350" w14:textId="77777777" w:rsidR="00C80E01" w:rsidRPr="00FF0F9C" w:rsidRDefault="00C80E01" w:rsidP="001D41E0">
            <w:pPr>
              <w:spacing w:before="60"/>
              <w:ind w:left="84"/>
              <w:rPr>
                <w:rFonts w:cs="Arial"/>
                <w:color w:val="FF0000"/>
              </w:rPr>
            </w:pPr>
          </w:p>
        </w:tc>
        <w:tc>
          <w:tcPr>
            <w:tcW w:w="1483" w:type="dxa"/>
          </w:tcPr>
          <w:p w14:paraId="5C839351" w14:textId="77777777" w:rsidR="00C80E01" w:rsidRPr="00FF0F9C" w:rsidRDefault="00C80E01" w:rsidP="001D41E0">
            <w:pPr>
              <w:spacing w:before="60"/>
              <w:ind w:hanging="1"/>
              <w:rPr>
                <w:rFonts w:cs="Arial"/>
                <w:color w:val="auto"/>
              </w:rPr>
            </w:pPr>
            <w:r w:rsidRPr="00FF0F9C">
              <w:rPr>
                <w:rFonts w:cs="Arial"/>
                <w:color w:val="auto"/>
              </w:rPr>
              <w:t>Section 110A</w:t>
            </w:r>
          </w:p>
          <w:p w14:paraId="5C839352" w14:textId="77777777" w:rsidR="00C80E01" w:rsidRPr="00FF0F9C" w:rsidRDefault="00C80E01" w:rsidP="001D41E0">
            <w:pPr>
              <w:spacing w:before="60"/>
              <w:ind w:hanging="1"/>
              <w:rPr>
                <w:rFonts w:cs="Arial"/>
                <w:color w:val="auto"/>
              </w:rPr>
            </w:pPr>
          </w:p>
        </w:tc>
        <w:tc>
          <w:tcPr>
            <w:tcW w:w="3053" w:type="dxa"/>
          </w:tcPr>
          <w:p w14:paraId="5C839353" w14:textId="77777777" w:rsidR="00C80E01" w:rsidRPr="00FF0F9C" w:rsidRDefault="00C80E01" w:rsidP="001D41E0">
            <w:pPr>
              <w:spacing w:before="60"/>
              <w:ind w:left="33"/>
              <w:rPr>
                <w:rFonts w:cs="Arial"/>
                <w:color w:val="auto"/>
              </w:rPr>
            </w:pPr>
            <w:r w:rsidRPr="00FF0F9C">
              <w:rPr>
                <w:rFonts w:cs="Arial"/>
                <w:color w:val="auto"/>
              </w:rPr>
              <w:t>Issuing Authorisations</w:t>
            </w:r>
          </w:p>
          <w:p w14:paraId="5C839354" w14:textId="77777777" w:rsidR="00C80E01" w:rsidRPr="00FF0F9C" w:rsidRDefault="00C80E01" w:rsidP="001D41E0">
            <w:pPr>
              <w:spacing w:before="60"/>
              <w:ind w:left="33"/>
              <w:rPr>
                <w:rFonts w:cs="Arial"/>
                <w:color w:val="auto"/>
              </w:rPr>
            </w:pPr>
          </w:p>
        </w:tc>
        <w:tc>
          <w:tcPr>
            <w:tcW w:w="2299" w:type="dxa"/>
          </w:tcPr>
          <w:p w14:paraId="5C839355" w14:textId="77777777" w:rsidR="00C80E01" w:rsidRPr="00FF0F9C" w:rsidRDefault="00C80E01" w:rsidP="001D41E0">
            <w:pPr>
              <w:autoSpaceDE w:val="0"/>
              <w:autoSpaceDN w:val="0"/>
              <w:adjustRightInd w:val="0"/>
              <w:spacing w:before="60"/>
              <w:ind w:left="33" w:right="17"/>
              <w:rPr>
                <w:rFonts w:eastAsia="Batang" w:cs="Arial"/>
              </w:rPr>
            </w:pPr>
            <w:r w:rsidRPr="00FF0F9C">
              <w:rPr>
                <w:rFonts w:eastAsia="Batang" w:cs="Arial"/>
              </w:rPr>
              <w:t>Head Of Financial Services</w:t>
            </w:r>
          </w:p>
        </w:tc>
      </w:tr>
      <w:tr w:rsidR="00B61E2B" w:rsidRPr="0014205D" w14:paraId="5C83935B" w14:textId="77777777" w:rsidTr="00B61E2B">
        <w:trPr>
          <w:trHeight w:val="1020"/>
        </w:trPr>
        <w:tc>
          <w:tcPr>
            <w:tcW w:w="2093" w:type="dxa"/>
            <w:vMerge w:val="restart"/>
          </w:tcPr>
          <w:p w14:paraId="5C839357" w14:textId="77777777" w:rsidR="00B61E2B" w:rsidRPr="0014205D" w:rsidRDefault="00B61E2B" w:rsidP="005545E4">
            <w:pPr>
              <w:spacing w:before="60" w:after="60"/>
              <w:rPr>
                <w:rFonts w:cs="Arial"/>
                <w:color w:val="auto"/>
              </w:rPr>
            </w:pPr>
            <w:r w:rsidRPr="0014205D">
              <w:rPr>
                <w:rFonts w:cs="Arial"/>
                <w:color w:val="auto"/>
              </w:rPr>
              <w:t>Local Government Act 2000</w:t>
            </w:r>
          </w:p>
        </w:tc>
        <w:tc>
          <w:tcPr>
            <w:tcW w:w="1483" w:type="dxa"/>
          </w:tcPr>
          <w:p w14:paraId="5C839358" w14:textId="77777777" w:rsidR="00B61E2B" w:rsidRPr="0014205D" w:rsidRDefault="00B61E2B" w:rsidP="005545E4">
            <w:pPr>
              <w:spacing w:before="60" w:after="60"/>
              <w:ind w:left="13" w:hanging="13"/>
              <w:rPr>
                <w:rFonts w:cs="Arial"/>
                <w:color w:val="auto"/>
              </w:rPr>
            </w:pPr>
            <w:r w:rsidRPr="0014205D">
              <w:rPr>
                <w:rFonts w:cs="Arial"/>
                <w:color w:val="auto"/>
              </w:rPr>
              <w:t>Chapter 4</w:t>
            </w:r>
          </w:p>
        </w:tc>
        <w:tc>
          <w:tcPr>
            <w:tcW w:w="3053" w:type="dxa"/>
          </w:tcPr>
          <w:p w14:paraId="5C839359" w14:textId="77777777" w:rsidR="00B61E2B" w:rsidRPr="0014205D" w:rsidRDefault="00B61E2B" w:rsidP="005545E4">
            <w:pPr>
              <w:spacing w:before="60" w:after="60"/>
              <w:ind w:left="33"/>
              <w:rPr>
                <w:rFonts w:cs="Arial"/>
                <w:color w:val="auto"/>
              </w:rPr>
            </w:pPr>
            <w:r w:rsidRPr="0014205D">
              <w:rPr>
                <w:rFonts w:cs="Arial"/>
                <w:color w:val="auto"/>
              </w:rPr>
              <w:t>Dealing with changing governance arrangements</w:t>
            </w:r>
          </w:p>
        </w:tc>
        <w:tc>
          <w:tcPr>
            <w:tcW w:w="2299" w:type="dxa"/>
          </w:tcPr>
          <w:p w14:paraId="5C83935A" w14:textId="77777777" w:rsidR="00B61E2B" w:rsidRPr="0014205D" w:rsidRDefault="00B61E2B" w:rsidP="005545E4">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60" w14:textId="77777777" w:rsidTr="00B61E2B">
        <w:trPr>
          <w:trHeight w:val="1020"/>
        </w:trPr>
        <w:tc>
          <w:tcPr>
            <w:tcW w:w="2093" w:type="dxa"/>
            <w:vMerge/>
          </w:tcPr>
          <w:p w14:paraId="5C83935C" w14:textId="77777777" w:rsidR="00B61E2B" w:rsidRPr="0014205D" w:rsidRDefault="00B61E2B" w:rsidP="005545E4">
            <w:pPr>
              <w:spacing w:before="60"/>
              <w:ind w:left="84"/>
              <w:rPr>
                <w:rFonts w:cs="Arial"/>
                <w:color w:val="auto"/>
              </w:rPr>
            </w:pPr>
          </w:p>
        </w:tc>
        <w:tc>
          <w:tcPr>
            <w:tcW w:w="1483" w:type="dxa"/>
          </w:tcPr>
          <w:p w14:paraId="5C83935D" w14:textId="77777777" w:rsidR="00B61E2B" w:rsidRPr="0014205D" w:rsidRDefault="00B61E2B" w:rsidP="005545E4">
            <w:pPr>
              <w:spacing w:before="60"/>
              <w:ind w:left="13" w:hanging="13"/>
              <w:rPr>
                <w:rFonts w:cs="Arial"/>
                <w:color w:val="auto"/>
              </w:rPr>
            </w:pPr>
            <w:r w:rsidRPr="0014205D">
              <w:rPr>
                <w:rFonts w:cs="Arial"/>
                <w:color w:val="auto"/>
              </w:rPr>
              <w:t>Section 99 and 100</w:t>
            </w:r>
          </w:p>
        </w:tc>
        <w:tc>
          <w:tcPr>
            <w:tcW w:w="3053" w:type="dxa"/>
          </w:tcPr>
          <w:p w14:paraId="5C83935E" w14:textId="77777777" w:rsidR="00B61E2B" w:rsidRPr="0014205D" w:rsidDel="00070927" w:rsidRDefault="00B61E2B" w:rsidP="005545E4">
            <w:pPr>
              <w:spacing w:before="60"/>
              <w:ind w:left="34"/>
              <w:rPr>
                <w:rFonts w:cs="Arial"/>
                <w:color w:val="auto"/>
              </w:rPr>
            </w:pPr>
            <w:r w:rsidRPr="0014205D">
              <w:rPr>
                <w:rFonts w:cs="Arial"/>
                <w:color w:val="auto"/>
              </w:rPr>
              <w:t xml:space="preserve">Regarding councillors’ allowances and having regard to all relevant regulations, including The Local Authorities (Members’ </w:t>
            </w:r>
            <w:proofErr w:type="gramStart"/>
            <w:r w:rsidRPr="0014205D">
              <w:rPr>
                <w:rFonts w:cs="Arial"/>
                <w:color w:val="auto"/>
              </w:rPr>
              <w:t>Allowances)(</w:t>
            </w:r>
            <w:proofErr w:type="gramEnd"/>
            <w:r w:rsidRPr="0014205D">
              <w:rPr>
                <w:rFonts w:cs="Arial"/>
                <w:color w:val="auto"/>
              </w:rPr>
              <w:t>England) Regulations 2003</w:t>
            </w:r>
          </w:p>
        </w:tc>
        <w:tc>
          <w:tcPr>
            <w:tcW w:w="2299" w:type="dxa"/>
          </w:tcPr>
          <w:p w14:paraId="5C83935F" w14:textId="77777777" w:rsidR="00B61E2B" w:rsidRPr="0014205D" w:rsidRDefault="00B61E2B" w:rsidP="005545E4">
            <w:pPr>
              <w:autoSpaceDE w:val="0"/>
              <w:autoSpaceDN w:val="0"/>
              <w:adjustRightInd w:val="0"/>
              <w:spacing w:before="60"/>
              <w:ind w:left="33" w:right="17"/>
              <w:rPr>
                <w:rFonts w:eastAsia="Batang" w:cs="Arial"/>
              </w:rPr>
            </w:pPr>
            <w:r w:rsidRPr="0014205D">
              <w:rPr>
                <w:rFonts w:eastAsia="Batang" w:cs="Arial"/>
              </w:rPr>
              <w:t>Head of Law and Governance</w:t>
            </w:r>
          </w:p>
        </w:tc>
      </w:tr>
      <w:tr w:rsidR="00B61E2B" w:rsidRPr="0014205D" w14:paraId="5C839366" w14:textId="77777777" w:rsidTr="00B61E2B">
        <w:trPr>
          <w:trHeight w:val="1020"/>
        </w:trPr>
        <w:tc>
          <w:tcPr>
            <w:tcW w:w="2093" w:type="dxa"/>
            <w:vMerge w:val="restart"/>
          </w:tcPr>
          <w:p w14:paraId="5C839361" w14:textId="77777777" w:rsidR="00B61E2B" w:rsidRPr="0014205D" w:rsidRDefault="00B61E2B" w:rsidP="004A5247">
            <w:pPr>
              <w:spacing w:before="60" w:after="60"/>
              <w:rPr>
                <w:rFonts w:cs="Arial"/>
                <w:color w:val="auto"/>
              </w:rPr>
            </w:pPr>
            <w:r w:rsidRPr="0014205D">
              <w:rPr>
                <w:rFonts w:cs="Arial"/>
                <w:color w:val="auto"/>
              </w:rPr>
              <w:t>Local Authorities (Standing Orders) (England) Regulations 2001</w:t>
            </w:r>
          </w:p>
        </w:tc>
        <w:tc>
          <w:tcPr>
            <w:tcW w:w="1483" w:type="dxa"/>
          </w:tcPr>
          <w:p w14:paraId="5C839362" w14:textId="77777777" w:rsidR="00B61E2B" w:rsidRPr="0014205D" w:rsidRDefault="00B61E2B" w:rsidP="004A5247">
            <w:pPr>
              <w:spacing w:before="60" w:after="60"/>
              <w:ind w:left="13" w:hanging="13"/>
              <w:rPr>
                <w:rFonts w:cs="Arial"/>
                <w:color w:val="auto"/>
              </w:rPr>
            </w:pPr>
            <w:r w:rsidRPr="0014205D">
              <w:rPr>
                <w:rFonts w:cs="Arial"/>
                <w:color w:val="auto"/>
              </w:rPr>
              <w:t>Schedule 1 Part II</w:t>
            </w:r>
          </w:p>
          <w:p w14:paraId="5C839363" w14:textId="77777777" w:rsidR="00B61E2B" w:rsidRPr="0014205D" w:rsidRDefault="00B61E2B" w:rsidP="004A5247">
            <w:pPr>
              <w:spacing w:before="60" w:after="60"/>
              <w:ind w:left="720"/>
              <w:rPr>
                <w:rFonts w:cs="Arial"/>
                <w:color w:val="auto"/>
              </w:rPr>
            </w:pPr>
          </w:p>
        </w:tc>
        <w:tc>
          <w:tcPr>
            <w:tcW w:w="3053" w:type="dxa"/>
          </w:tcPr>
          <w:p w14:paraId="5C839364" w14:textId="77777777" w:rsidR="00B61E2B" w:rsidRPr="0014205D" w:rsidRDefault="00B61E2B" w:rsidP="004A5247">
            <w:pPr>
              <w:spacing w:before="60" w:after="60"/>
              <w:ind w:left="33"/>
              <w:rPr>
                <w:rFonts w:cs="Arial"/>
                <w:color w:val="auto"/>
              </w:rPr>
            </w:pPr>
            <w:r w:rsidRPr="0014205D">
              <w:rPr>
                <w:rFonts w:cs="Arial"/>
                <w:color w:val="auto"/>
              </w:rPr>
              <w:t>Giving notice of appointments and dismissals of officers to the Cabinet in accordance with the Regulations</w:t>
            </w:r>
          </w:p>
        </w:tc>
        <w:tc>
          <w:tcPr>
            <w:tcW w:w="2299" w:type="dxa"/>
          </w:tcPr>
          <w:p w14:paraId="5C839365" w14:textId="77777777" w:rsidR="00B61E2B" w:rsidRPr="0014205D" w:rsidRDefault="00B61E2B" w:rsidP="00532E5D">
            <w:pPr>
              <w:autoSpaceDE w:val="0"/>
              <w:autoSpaceDN w:val="0"/>
              <w:adjustRightInd w:val="0"/>
              <w:spacing w:before="60" w:after="60"/>
              <w:ind w:left="33" w:right="17"/>
              <w:rPr>
                <w:rFonts w:eastAsia="Batang" w:cs="Arial"/>
              </w:rPr>
            </w:pPr>
            <w:r w:rsidRPr="0014205D">
              <w:rPr>
                <w:rFonts w:eastAsia="Batang" w:cs="Arial"/>
              </w:rPr>
              <w:t>Head of</w:t>
            </w:r>
            <w:r w:rsidR="00532E5D">
              <w:rPr>
                <w:rFonts w:eastAsia="Batang" w:cs="Arial"/>
              </w:rPr>
              <w:t xml:space="preserve"> Law and Governance</w:t>
            </w:r>
          </w:p>
        </w:tc>
      </w:tr>
      <w:tr w:rsidR="00B61E2B" w:rsidRPr="0014205D" w14:paraId="5C83936B" w14:textId="77777777" w:rsidTr="00B61E2B">
        <w:trPr>
          <w:trHeight w:val="1020"/>
        </w:trPr>
        <w:tc>
          <w:tcPr>
            <w:tcW w:w="2093" w:type="dxa"/>
            <w:vMerge/>
          </w:tcPr>
          <w:p w14:paraId="5C839367" w14:textId="77777777" w:rsidR="00B61E2B" w:rsidRPr="0014205D" w:rsidRDefault="00B61E2B" w:rsidP="004A5247">
            <w:pPr>
              <w:spacing w:before="60"/>
              <w:rPr>
                <w:rFonts w:cs="Arial"/>
                <w:color w:val="auto"/>
              </w:rPr>
            </w:pPr>
          </w:p>
        </w:tc>
        <w:tc>
          <w:tcPr>
            <w:tcW w:w="1483" w:type="dxa"/>
          </w:tcPr>
          <w:p w14:paraId="5C839368" w14:textId="77777777" w:rsidR="00B61E2B" w:rsidRPr="0014205D" w:rsidRDefault="00B61E2B" w:rsidP="004A5247">
            <w:pPr>
              <w:spacing w:before="60"/>
              <w:ind w:left="13" w:hanging="13"/>
              <w:rPr>
                <w:rFonts w:cs="Arial"/>
                <w:color w:val="auto"/>
              </w:rPr>
            </w:pPr>
            <w:r w:rsidRPr="0014205D">
              <w:rPr>
                <w:rFonts w:cs="Arial"/>
                <w:color w:val="auto"/>
              </w:rPr>
              <w:t>Schedule 3</w:t>
            </w:r>
          </w:p>
        </w:tc>
        <w:tc>
          <w:tcPr>
            <w:tcW w:w="3053" w:type="dxa"/>
          </w:tcPr>
          <w:p w14:paraId="5C839369" w14:textId="77777777" w:rsidR="00B61E2B" w:rsidRPr="0014205D" w:rsidRDefault="00B61E2B" w:rsidP="004A5247">
            <w:pPr>
              <w:spacing w:before="60"/>
              <w:ind w:left="33"/>
              <w:rPr>
                <w:rFonts w:cs="Arial"/>
                <w:color w:val="auto"/>
              </w:rPr>
            </w:pPr>
            <w:r w:rsidRPr="0014205D">
              <w:rPr>
                <w:rFonts w:cs="Arial"/>
                <w:color w:val="auto"/>
              </w:rPr>
              <w:t>Provisions relating to disciplinary action</w:t>
            </w:r>
          </w:p>
        </w:tc>
        <w:tc>
          <w:tcPr>
            <w:tcW w:w="2299" w:type="dxa"/>
          </w:tcPr>
          <w:p w14:paraId="5C83936A" w14:textId="77777777" w:rsidR="00B61E2B" w:rsidRPr="0014205D" w:rsidRDefault="00B61E2B" w:rsidP="00532E5D">
            <w:pPr>
              <w:autoSpaceDE w:val="0"/>
              <w:autoSpaceDN w:val="0"/>
              <w:adjustRightInd w:val="0"/>
              <w:spacing w:before="60"/>
              <w:ind w:left="33" w:right="17"/>
              <w:rPr>
                <w:rFonts w:eastAsia="Batang" w:cs="Arial"/>
              </w:rPr>
            </w:pPr>
            <w:r w:rsidRPr="0014205D">
              <w:rPr>
                <w:rFonts w:eastAsia="Batang" w:cs="Arial"/>
              </w:rPr>
              <w:t xml:space="preserve">Head of </w:t>
            </w:r>
            <w:r w:rsidR="00532E5D">
              <w:rPr>
                <w:rFonts w:eastAsia="Batang" w:cs="Arial"/>
              </w:rPr>
              <w:t>Law and Governance</w:t>
            </w:r>
          </w:p>
        </w:tc>
      </w:tr>
      <w:tr w:rsidR="00B61E2B" w:rsidRPr="0014205D" w14:paraId="5C839370" w14:textId="77777777" w:rsidTr="00B61E2B">
        <w:trPr>
          <w:trHeight w:val="1020"/>
        </w:trPr>
        <w:tc>
          <w:tcPr>
            <w:tcW w:w="2093" w:type="dxa"/>
            <w:vMerge w:val="restart"/>
          </w:tcPr>
          <w:p w14:paraId="5C83936C" w14:textId="77777777" w:rsidR="00B61E2B" w:rsidRPr="0014205D" w:rsidRDefault="00B61E2B" w:rsidP="004A5247">
            <w:pPr>
              <w:spacing w:before="60" w:after="60"/>
              <w:ind w:left="84"/>
              <w:rPr>
                <w:rFonts w:cs="Arial"/>
                <w:color w:val="auto"/>
              </w:rPr>
            </w:pPr>
            <w:r w:rsidRPr="0014205D">
              <w:rPr>
                <w:rFonts w:cs="Arial"/>
                <w:color w:val="auto"/>
              </w:rPr>
              <w:t>Local Authorities (Executive Arrangements)</w:t>
            </w:r>
            <w:r>
              <w:rPr>
                <w:rFonts w:cs="Arial"/>
                <w:color w:val="auto"/>
              </w:rPr>
              <w:t xml:space="preserve"> </w:t>
            </w:r>
            <w:r w:rsidRPr="0014205D">
              <w:rPr>
                <w:rFonts w:cs="Arial"/>
                <w:color w:val="auto"/>
              </w:rPr>
              <w:t>(Meetings and Access to Information)</w:t>
            </w:r>
            <w:r>
              <w:rPr>
                <w:rFonts w:cs="Arial"/>
                <w:color w:val="auto"/>
              </w:rPr>
              <w:t xml:space="preserve"> </w:t>
            </w:r>
            <w:r w:rsidRPr="0014205D">
              <w:rPr>
                <w:rFonts w:cs="Arial"/>
                <w:color w:val="auto"/>
              </w:rPr>
              <w:t>(England) Regulations 2012</w:t>
            </w:r>
          </w:p>
        </w:tc>
        <w:tc>
          <w:tcPr>
            <w:tcW w:w="1483" w:type="dxa"/>
          </w:tcPr>
          <w:p w14:paraId="5C83936D" w14:textId="77777777" w:rsidR="00B61E2B" w:rsidRPr="0014205D" w:rsidRDefault="00B61E2B" w:rsidP="004A5247">
            <w:pPr>
              <w:spacing w:before="60" w:after="60"/>
              <w:ind w:hanging="1"/>
              <w:jc w:val="both"/>
              <w:rPr>
                <w:rFonts w:cs="Arial"/>
                <w:color w:val="auto"/>
              </w:rPr>
            </w:pPr>
            <w:r w:rsidRPr="0014205D">
              <w:rPr>
                <w:rFonts w:cs="Arial"/>
                <w:color w:val="auto"/>
              </w:rPr>
              <w:t>Regulation 3</w:t>
            </w:r>
          </w:p>
        </w:tc>
        <w:tc>
          <w:tcPr>
            <w:tcW w:w="3053" w:type="dxa"/>
          </w:tcPr>
          <w:p w14:paraId="5C83936E" w14:textId="77777777" w:rsidR="00B61E2B" w:rsidRPr="0014205D" w:rsidRDefault="00B61E2B" w:rsidP="004A5247">
            <w:pPr>
              <w:spacing w:before="60" w:after="60"/>
              <w:ind w:left="33"/>
              <w:rPr>
                <w:rFonts w:cs="Arial"/>
                <w:color w:val="auto"/>
              </w:rPr>
            </w:pPr>
            <w:r w:rsidRPr="0014205D">
              <w:rPr>
                <w:rFonts w:cs="Arial"/>
                <w:color w:val="auto"/>
              </w:rPr>
              <w:t>Recording of executive decisions made at meetings</w:t>
            </w:r>
          </w:p>
        </w:tc>
        <w:tc>
          <w:tcPr>
            <w:tcW w:w="2299" w:type="dxa"/>
          </w:tcPr>
          <w:p w14:paraId="5C83936F" w14:textId="77777777" w:rsidR="00B61E2B" w:rsidRPr="0014205D" w:rsidRDefault="00B61E2B" w:rsidP="004A5247">
            <w:pPr>
              <w:autoSpaceDE w:val="0"/>
              <w:autoSpaceDN w:val="0"/>
              <w:adjustRightInd w:val="0"/>
              <w:spacing w:before="60" w:after="60"/>
              <w:ind w:left="33" w:right="17"/>
              <w:rPr>
                <w:rFonts w:eastAsia="Batang" w:cs="Arial"/>
                <w:color w:val="FF0000"/>
              </w:rPr>
            </w:pPr>
            <w:r w:rsidRPr="0014205D">
              <w:rPr>
                <w:rFonts w:eastAsia="Batang" w:cs="Arial"/>
              </w:rPr>
              <w:t>Head of Law and Governance</w:t>
            </w:r>
          </w:p>
        </w:tc>
      </w:tr>
      <w:tr w:rsidR="00B61E2B" w:rsidRPr="0014205D" w14:paraId="5C839375" w14:textId="77777777" w:rsidTr="00B61E2B">
        <w:trPr>
          <w:trHeight w:val="1020"/>
        </w:trPr>
        <w:tc>
          <w:tcPr>
            <w:tcW w:w="2093" w:type="dxa"/>
            <w:vMerge/>
          </w:tcPr>
          <w:p w14:paraId="5C839371" w14:textId="77777777" w:rsidR="00B61E2B" w:rsidRPr="0014205D" w:rsidRDefault="00B61E2B" w:rsidP="004A5247">
            <w:pPr>
              <w:spacing w:before="60" w:after="60"/>
              <w:ind w:left="84"/>
              <w:rPr>
                <w:rFonts w:cs="Arial"/>
                <w:color w:val="auto"/>
              </w:rPr>
            </w:pPr>
          </w:p>
        </w:tc>
        <w:tc>
          <w:tcPr>
            <w:tcW w:w="1483" w:type="dxa"/>
          </w:tcPr>
          <w:p w14:paraId="5C839372" w14:textId="77777777" w:rsidR="00B61E2B" w:rsidRPr="0014205D" w:rsidRDefault="00B61E2B" w:rsidP="004A5247">
            <w:pPr>
              <w:spacing w:before="60" w:after="60"/>
              <w:ind w:hanging="1"/>
              <w:jc w:val="both"/>
              <w:rPr>
                <w:rFonts w:cs="Arial"/>
                <w:color w:val="auto"/>
              </w:rPr>
            </w:pPr>
            <w:r w:rsidRPr="0014205D">
              <w:rPr>
                <w:rFonts w:cs="Arial"/>
                <w:color w:val="auto"/>
              </w:rPr>
              <w:t>Regulation 4</w:t>
            </w:r>
          </w:p>
        </w:tc>
        <w:tc>
          <w:tcPr>
            <w:tcW w:w="3053" w:type="dxa"/>
          </w:tcPr>
          <w:p w14:paraId="5C839373" w14:textId="77777777" w:rsidR="00B61E2B" w:rsidRPr="0014205D" w:rsidRDefault="00B61E2B" w:rsidP="004A5247">
            <w:pPr>
              <w:spacing w:before="60" w:after="60"/>
              <w:ind w:left="33"/>
              <w:rPr>
                <w:rFonts w:cs="Arial"/>
                <w:color w:val="auto"/>
              </w:rPr>
            </w:pPr>
            <w:r w:rsidRPr="0014205D">
              <w:rPr>
                <w:rFonts w:cs="Arial"/>
                <w:color w:val="auto"/>
              </w:rPr>
              <w:t xml:space="preserve">Admission of public to meetings of the executive </w:t>
            </w:r>
          </w:p>
        </w:tc>
        <w:tc>
          <w:tcPr>
            <w:tcW w:w="2299" w:type="dxa"/>
          </w:tcPr>
          <w:p w14:paraId="5C839374"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7A" w14:textId="77777777" w:rsidTr="00B61E2B">
        <w:trPr>
          <w:trHeight w:val="1020"/>
        </w:trPr>
        <w:tc>
          <w:tcPr>
            <w:tcW w:w="2093" w:type="dxa"/>
            <w:vMerge/>
          </w:tcPr>
          <w:p w14:paraId="5C839376" w14:textId="77777777" w:rsidR="00B61E2B" w:rsidRPr="0014205D" w:rsidRDefault="00B61E2B" w:rsidP="004A5247">
            <w:pPr>
              <w:spacing w:before="60" w:after="60"/>
              <w:ind w:left="84"/>
              <w:rPr>
                <w:rFonts w:cs="Arial"/>
                <w:color w:val="auto"/>
              </w:rPr>
            </w:pPr>
          </w:p>
        </w:tc>
        <w:tc>
          <w:tcPr>
            <w:tcW w:w="1483" w:type="dxa"/>
          </w:tcPr>
          <w:p w14:paraId="5C839377" w14:textId="77777777" w:rsidR="00B61E2B" w:rsidRPr="0014205D" w:rsidRDefault="00B61E2B" w:rsidP="004A5247">
            <w:pPr>
              <w:spacing w:before="60" w:after="60"/>
              <w:ind w:hanging="1"/>
              <w:jc w:val="both"/>
              <w:rPr>
                <w:rFonts w:cs="Arial"/>
                <w:color w:val="auto"/>
              </w:rPr>
            </w:pPr>
            <w:r w:rsidRPr="0014205D">
              <w:rPr>
                <w:rFonts w:cs="Arial"/>
                <w:color w:val="auto"/>
              </w:rPr>
              <w:t>Regulation 5</w:t>
            </w:r>
          </w:p>
        </w:tc>
        <w:tc>
          <w:tcPr>
            <w:tcW w:w="3053" w:type="dxa"/>
          </w:tcPr>
          <w:p w14:paraId="5C839378" w14:textId="77777777" w:rsidR="00B61E2B" w:rsidRPr="0014205D" w:rsidRDefault="00B61E2B" w:rsidP="004A5247">
            <w:pPr>
              <w:spacing w:before="60" w:after="60"/>
              <w:ind w:left="33"/>
              <w:rPr>
                <w:rFonts w:cs="Arial"/>
                <w:color w:val="auto"/>
              </w:rPr>
            </w:pPr>
            <w:r w:rsidRPr="0014205D">
              <w:rPr>
                <w:rFonts w:cs="Arial"/>
                <w:color w:val="auto"/>
              </w:rPr>
              <w:t>Procedures prior to private meetings of the executive</w:t>
            </w:r>
          </w:p>
        </w:tc>
        <w:tc>
          <w:tcPr>
            <w:tcW w:w="2299" w:type="dxa"/>
          </w:tcPr>
          <w:p w14:paraId="5C839379"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7F" w14:textId="77777777" w:rsidTr="00B61E2B">
        <w:trPr>
          <w:trHeight w:val="1020"/>
        </w:trPr>
        <w:tc>
          <w:tcPr>
            <w:tcW w:w="2093" w:type="dxa"/>
            <w:vMerge/>
          </w:tcPr>
          <w:p w14:paraId="5C83937B" w14:textId="77777777" w:rsidR="00B61E2B" w:rsidRPr="0014205D" w:rsidRDefault="00B61E2B" w:rsidP="004A5247">
            <w:pPr>
              <w:spacing w:before="60" w:after="60"/>
              <w:ind w:left="84"/>
              <w:rPr>
                <w:rFonts w:cs="Arial"/>
                <w:color w:val="auto"/>
              </w:rPr>
            </w:pPr>
          </w:p>
        </w:tc>
        <w:tc>
          <w:tcPr>
            <w:tcW w:w="1483" w:type="dxa"/>
          </w:tcPr>
          <w:p w14:paraId="5C83937C" w14:textId="77777777" w:rsidR="00B61E2B" w:rsidRPr="0014205D" w:rsidRDefault="00B61E2B" w:rsidP="004A5247">
            <w:pPr>
              <w:spacing w:before="60" w:after="60"/>
              <w:ind w:hanging="1"/>
              <w:jc w:val="both"/>
              <w:rPr>
                <w:rFonts w:cs="Arial"/>
                <w:color w:val="auto"/>
              </w:rPr>
            </w:pPr>
            <w:r w:rsidRPr="0014205D">
              <w:rPr>
                <w:rFonts w:cs="Arial"/>
                <w:color w:val="auto"/>
              </w:rPr>
              <w:t>Regulation 6</w:t>
            </w:r>
          </w:p>
        </w:tc>
        <w:tc>
          <w:tcPr>
            <w:tcW w:w="3053" w:type="dxa"/>
          </w:tcPr>
          <w:p w14:paraId="5C83937D" w14:textId="77777777" w:rsidR="00B61E2B" w:rsidRPr="0014205D" w:rsidRDefault="00B61E2B" w:rsidP="004A5247">
            <w:pPr>
              <w:spacing w:before="60" w:after="60"/>
              <w:ind w:left="33"/>
              <w:rPr>
                <w:rFonts w:cs="Arial"/>
                <w:color w:val="auto"/>
              </w:rPr>
            </w:pPr>
            <w:r w:rsidRPr="0014205D">
              <w:rPr>
                <w:rFonts w:cs="Arial"/>
                <w:color w:val="auto"/>
              </w:rPr>
              <w:t xml:space="preserve">Procedures prior to public meetings of the executive </w:t>
            </w:r>
          </w:p>
        </w:tc>
        <w:tc>
          <w:tcPr>
            <w:tcW w:w="2299" w:type="dxa"/>
          </w:tcPr>
          <w:p w14:paraId="5C83937E"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84" w14:textId="77777777" w:rsidTr="00B61E2B">
        <w:trPr>
          <w:trHeight w:val="1020"/>
        </w:trPr>
        <w:tc>
          <w:tcPr>
            <w:tcW w:w="2093" w:type="dxa"/>
            <w:vMerge/>
          </w:tcPr>
          <w:p w14:paraId="5C839380" w14:textId="77777777" w:rsidR="00B61E2B" w:rsidRPr="0014205D" w:rsidRDefault="00B61E2B" w:rsidP="004A5247">
            <w:pPr>
              <w:spacing w:before="60" w:after="60"/>
              <w:ind w:left="84"/>
              <w:rPr>
                <w:rFonts w:cs="Arial"/>
                <w:color w:val="auto"/>
              </w:rPr>
            </w:pPr>
          </w:p>
        </w:tc>
        <w:tc>
          <w:tcPr>
            <w:tcW w:w="1483" w:type="dxa"/>
          </w:tcPr>
          <w:p w14:paraId="5C839381" w14:textId="77777777" w:rsidR="00B61E2B" w:rsidRPr="0014205D" w:rsidRDefault="00B61E2B" w:rsidP="004A5247">
            <w:pPr>
              <w:spacing w:before="60" w:after="60"/>
              <w:ind w:hanging="1"/>
              <w:jc w:val="both"/>
              <w:rPr>
                <w:rFonts w:cs="Arial"/>
                <w:color w:val="auto"/>
              </w:rPr>
            </w:pPr>
            <w:r w:rsidRPr="0014205D">
              <w:rPr>
                <w:rFonts w:cs="Arial"/>
                <w:color w:val="auto"/>
              </w:rPr>
              <w:t>Regulation 7</w:t>
            </w:r>
          </w:p>
        </w:tc>
        <w:tc>
          <w:tcPr>
            <w:tcW w:w="3053" w:type="dxa"/>
          </w:tcPr>
          <w:p w14:paraId="5C839382" w14:textId="77777777" w:rsidR="00B61E2B" w:rsidRPr="0014205D" w:rsidRDefault="00B61E2B" w:rsidP="004A5247">
            <w:pPr>
              <w:spacing w:before="60" w:after="60"/>
              <w:ind w:left="33"/>
              <w:rPr>
                <w:rFonts w:cs="Arial"/>
                <w:color w:val="auto"/>
              </w:rPr>
            </w:pPr>
            <w:r w:rsidRPr="0014205D">
              <w:rPr>
                <w:rFonts w:cs="Arial"/>
                <w:color w:val="auto"/>
              </w:rPr>
              <w:t xml:space="preserve">Access to agenda and connected reports for public meetings of the executive </w:t>
            </w:r>
          </w:p>
        </w:tc>
        <w:tc>
          <w:tcPr>
            <w:tcW w:w="2299" w:type="dxa"/>
          </w:tcPr>
          <w:p w14:paraId="5C839383"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89" w14:textId="77777777" w:rsidTr="00B61E2B">
        <w:trPr>
          <w:trHeight w:val="1020"/>
        </w:trPr>
        <w:tc>
          <w:tcPr>
            <w:tcW w:w="2093" w:type="dxa"/>
            <w:vMerge/>
          </w:tcPr>
          <w:p w14:paraId="5C839385" w14:textId="77777777" w:rsidR="00B61E2B" w:rsidRPr="0014205D" w:rsidRDefault="00B61E2B" w:rsidP="004A5247">
            <w:pPr>
              <w:spacing w:before="60" w:after="60"/>
              <w:ind w:left="84"/>
              <w:rPr>
                <w:rFonts w:cs="Arial"/>
                <w:color w:val="auto"/>
              </w:rPr>
            </w:pPr>
          </w:p>
        </w:tc>
        <w:tc>
          <w:tcPr>
            <w:tcW w:w="1483" w:type="dxa"/>
          </w:tcPr>
          <w:p w14:paraId="5C839386" w14:textId="77777777" w:rsidR="00B61E2B" w:rsidRPr="0014205D" w:rsidRDefault="00B61E2B" w:rsidP="004A5247">
            <w:pPr>
              <w:spacing w:before="60" w:after="60"/>
              <w:ind w:hanging="1"/>
              <w:rPr>
                <w:rFonts w:cs="Arial"/>
                <w:color w:val="auto"/>
              </w:rPr>
            </w:pPr>
            <w:r>
              <w:rPr>
                <w:rFonts w:cs="Arial"/>
                <w:color w:val="auto"/>
              </w:rPr>
              <w:t>Regulations</w:t>
            </w:r>
            <w:r w:rsidRPr="0014205D">
              <w:rPr>
                <w:rFonts w:cs="Arial"/>
                <w:color w:val="auto"/>
              </w:rPr>
              <w:t xml:space="preserve"> 9-11</w:t>
            </w:r>
          </w:p>
        </w:tc>
        <w:tc>
          <w:tcPr>
            <w:tcW w:w="3053" w:type="dxa"/>
          </w:tcPr>
          <w:p w14:paraId="5C839387" w14:textId="77777777" w:rsidR="00B61E2B" w:rsidRPr="0014205D" w:rsidRDefault="00B61E2B" w:rsidP="004A5247">
            <w:pPr>
              <w:spacing w:before="60" w:after="60"/>
              <w:ind w:left="33"/>
              <w:rPr>
                <w:rFonts w:cs="Arial"/>
                <w:color w:val="auto"/>
              </w:rPr>
            </w:pPr>
            <w:r w:rsidRPr="0014205D">
              <w:rPr>
                <w:rFonts w:cs="Arial"/>
                <w:color w:val="auto"/>
              </w:rPr>
              <w:t>Publicity and procedure in connection with key decisions</w:t>
            </w:r>
          </w:p>
        </w:tc>
        <w:tc>
          <w:tcPr>
            <w:tcW w:w="2299" w:type="dxa"/>
          </w:tcPr>
          <w:p w14:paraId="5C839388"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8E" w14:textId="77777777" w:rsidTr="00B61E2B">
        <w:trPr>
          <w:trHeight w:val="1020"/>
        </w:trPr>
        <w:tc>
          <w:tcPr>
            <w:tcW w:w="2093" w:type="dxa"/>
            <w:vMerge/>
          </w:tcPr>
          <w:p w14:paraId="5C83938A" w14:textId="77777777" w:rsidR="00B61E2B" w:rsidRPr="0014205D" w:rsidRDefault="00B61E2B" w:rsidP="004A5247">
            <w:pPr>
              <w:spacing w:before="60" w:after="60"/>
              <w:ind w:left="84"/>
              <w:rPr>
                <w:rFonts w:cs="Arial"/>
                <w:color w:val="auto"/>
              </w:rPr>
            </w:pPr>
          </w:p>
        </w:tc>
        <w:tc>
          <w:tcPr>
            <w:tcW w:w="1483" w:type="dxa"/>
          </w:tcPr>
          <w:p w14:paraId="5C83938B" w14:textId="77777777" w:rsidR="00B61E2B" w:rsidRPr="0014205D" w:rsidRDefault="00B61E2B" w:rsidP="004A5247">
            <w:pPr>
              <w:spacing w:before="60" w:after="60"/>
              <w:ind w:hanging="1"/>
              <w:rPr>
                <w:rFonts w:cs="Arial"/>
                <w:color w:val="auto"/>
              </w:rPr>
            </w:pPr>
            <w:r w:rsidRPr="0014205D">
              <w:rPr>
                <w:rFonts w:cs="Arial"/>
                <w:color w:val="auto"/>
              </w:rPr>
              <w:t>Regulation 12</w:t>
            </w:r>
          </w:p>
        </w:tc>
        <w:tc>
          <w:tcPr>
            <w:tcW w:w="3053" w:type="dxa"/>
          </w:tcPr>
          <w:p w14:paraId="5C83938C" w14:textId="77777777" w:rsidR="00B61E2B" w:rsidRPr="0014205D" w:rsidRDefault="00B61E2B" w:rsidP="005545E4">
            <w:pPr>
              <w:spacing w:before="60" w:after="60"/>
              <w:ind w:left="33"/>
              <w:rPr>
                <w:rFonts w:cs="Arial"/>
                <w:color w:val="auto"/>
              </w:rPr>
            </w:pPr>
            <w:r w:rsidRPr="0014205D">
              <w:rPr>
                <w:rFonts w:cs="Arial"/>
                <w:color w:val="auto"/>
              </w:rPr>
              <w:t>Recording of executive decisions made at meetings</w:t>
            </w:r>
          </w:p>
        </w:tc>
        <w:tc>
          <w:tcPr>
            <w:tcW w:w="2299" w:type="dxa"/>
          </w:tcPr>
          <w:p w14:paraId="5C83938D"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93" w14:textId="77777777" w:rsidTr="00B61E2B">
        <w:trPr>
          <w:trHeight w:val="1020"/>
        </w:trPr>
        <w:tc>
          <w:tcPr>
            <w:tcW w:w="2093" w:type="dxa"/>
            <w:vMerge/>
          </w:tcPr>
          <w:p w14:paraId="5C83938F" w14:textId="77777777" w:rsidR="00B61E2B" w:rsidRPr="0014205D" w:rsidRDefault="00B61E2B" w:rsidP="004A5247">
            <w:pPr>
              <w:spacing w:before="60" w:after="60"/>
              <w:ind w:left="84"/>
              <w:rPr>
                <w:rFonts w:cs="Arial"/>
                <w:color w:val="auto"/>
              </w:rPr>
            </w:pPr>
          </w:p>
        </w:tc>
        <w:tc>
          <w:tcPr>
            <w:tcW w:w="1483" w:type="dxa"/>
          </w:tcPr>
          <w:p w14:paraId="5C839390" w14:textId="77777777" w:rsidR="00B61E2B" w:rsidRPr="0014205D" w:rsidRDefault="00B61E2B" w:rsidP="004A5247">
            <w:pPr>
              <w:spacing w:before="60" w:after="60"/>
              <w:ind w:hanging="1"/>
              <w:rPr>
                <w:rFonts w:cs="Arial"/>
                <w:color w:val="auto"/>
              </w:rPr>
            </w:pPr>
            <w:r w:rsidRPr="0014205D">
              <w:rPr>
                <w:rFonts w:cs="Arial"/>
                <w:color w:val="auto"/>
              </w:rPr>
              <w:t>Regulation 13</w:t>
            </w:r>
          </w:p>
        </w:tc>
        <w:tc>
          <w:tcPr>
            <w:tcW w:w="3053" w:type="dxa"/>
          </w:tcPr>
          <w:p w14:paraId="5C839391" w14:textId="77777777" w:rsidR="00B61E2B" w:rsidRPr="0014205D" w:rsidDel="00EF126A" w:rsidRDefault="00B61E2B" w:rsidP="004A5247">
            <w:pPr>
              <w:spacing w:before="60" w:after="60"/>
              <w:ind w:left="33"/>
              <w:rPr>
                <w:rFonts w:cs="Arial"/>
                <w:color w:val="auto"/>
              </w:rPr>
            </w:pPr>
            <w:r w:rsidRPr="0014205D">
              <w:rPr>
                <w:rFonts w:cs="Arial"/>
                <w:color w:val="auto"/>
              </w:rPr>
              <w:t>Recording of executive decisions made by individuals</w:t>
            </w:r>
          </w:p>
        </w:tc>
        <w:tc>
          <w:tcPr>
            <w:tcW w:w="2299" w:type="dxa"/>
          </w:tcPr>
          <w:p w14:paraId="5C839392"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98" w14:textId="77777777" w:rsidTr="00B61E2B">
        <w:trPr>
          <w:trHeight w:val="1020"/>
        </w:trPr>
        <w:tc>
          <w:tcPr>
            <w:tcW w:w="2093" w:type="dxa"/>
            <w:vMerge/>
          </w:tcPr>
          <w:p w14:paraId="5C839394" w14:textId="77777777" w:rsidR="00B61E2B" w:rsidRPr="0014205D" w:rsidRDefault="00B61E2B" w:rsidP="004A5247">
            <w:pPr>
              <w:spacing w:before="60" w:after="60"/>
              <w:ind w:left="84"/>
              <w:rPr>
                <w:rFonts w:cs="Arial"/>
                <w:color w:val="auto"/>
              </w:rPr>
            </w:pPr>
          </w:p>
        </w:tc>
        <w:tc>
          <w:tcPr>
            <w:tcW w:w="1483" w:type="dxa"/>
          </w:tcPr>
          <w:p w14:paraId="5C839395" w14:textId="77777777" w:rsidR="00B61E2B" w:rsidRPr="0014205D" w:rsidRDefault="00B61E2B" w:rsidP="004A5247">
            <w:pPr>
              <w:spacing w:before="60" w:after="60"/>
              <w:ind w:hanging="1"/>
              <w:rPr>
                <w:rFonts w:cs="Arial"/>
                <w:color w:val="auto"/>
              </w:rPr>
            </w:pPr>
            <w:r w:rsidRPr="0014205D">
              <w:rPr>
                <w:rFonts w:cs="Arial"/>
                <w:color w:val="auto"/>
              </w:rPr>
              <w:t>Regulation 14</w:t>
            </w:r>
          </w:p>
        </w:tc>
        <w:tc>
          <w:tcPr>
            <w:tcW w:w="3053" w:type="dxa"/>
          </w:tcPr>
          <w:p w14:paraId="5C839396" w14:textId="77777777" w:rsidR="00B61E2B" w:rsidRPr="0014205D" w:rsidDel="00EF126A" w:rsidRDefault="00B61E2B" w:rsidP="004A5247">
            <w:pPr>
              <w:spacing w:before="60" w:after="60"/>
              <w:ind w:left="33"/>
              <w:rPr>
                <w:rFonts w:cs="Arial"/>
                <w:color w:val="auto"/>
              </w:rPr>
            </w:pPr>
            <w:r w:rsidRPr="0014205D">
              <w:rPr>
                <w:rFonts w:cs="Arial"/>
                <w:color w:val="auto"/>
              </w:rPr>
              <w:t>Inspection of documents following executive decisions</w:t>
            </w:r>
          </w:p>
        </w:tc>
        <w:tc>
          <w:tcPr>
            <w:tcW w:w="2299" w:type="dxa"/>
          </w:tcPr>
          <w:p w14:paraId="5C839397"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9E" w14:textId="77777777" w:rsidTr="00B61E2B">
        <w:trPr>
          <w:trHeight w:val="1020"/>
        </w:trPr>
        <w:tc>
          <w:tcPr>
            <w:tcW w:w="2093" w:type="dxa"/>
            <w:vMerge/>
          </w:tcPr>
          <w:p w14:paraId="5C839399" w14:textId="77777777" w:rsidR="00B61E2B" w:rsidRPr="0014205D" w:rsidRDefault="00B61E2B" w:rsidP="004A5247">
            <w:pPr>
              <w:spacing w:before="60" w:after="60"/>
              <w:ind w:left="84"/>
              <w:rPr>
                <w:rFonts w:cs="Arial"/>
                <w:color w:val="auto"/>
              </w:rPr>
            </w:pPr>
          </w:p>
        </w:tc>
        <w:tc>
          <w:tcPr>
            <w:tcW w:w="1483" w:type="dxa"/>
          </w:tcPr>
          <w:p w14:paraId="5C83939A" w14:textId="77777777" w:rsidR="00B61E2B" w:rsidRPr="0014205D" w:rsidRDefault="00B61E2B" w:rsidP="004A5247">
            <w:pPr>
              <w:spacing w:before="60" w:after="60"/>
              <w:ind w:hanging="1"/>
              <w:rPr>
                <w:rFonts w:cs="Arial"/>
                <w:color w:val="auto"/>
              </w:rPr>
            </w:pPr>
            <w:r w:rsidRPr="0014205D">
              <w:rPr>
                <w:rFonts w:cs="Arial"/>
                <w:color w:val="auto"/>
              </w:rPr>
              <w:t>Regulation 15</w:t>
            </w:r>
          </w:p>
        </w:tc>
        <w:tc>
          <w:tcPr>
            <w:tcW w:w="3053" w:type="dxa"/>
          </w:tcPr>
          <w:p w14:paraId="5C83939B" w14:textId="77777777" w:rsidR="00B61E2B" w:rsidRPr="0014205D" w:rsidRDefault="00B61E2B" w:rsidP="004A5247">
            <w:pPr>
              <w:spacing w:before="60" w:after="60"/>
              <w:ind w:left="33"/>
              <w:rPr>
                <w:rFonts w:cs="Arial"/>
                <w:color w:val="auto"/>
              </w:rPr>
            </w:pPr>
            <w:r w:rsidRPr="0014205D">
              <w:rPr>
                <w:rFonts w:cs="Arial"/>
                <w:color w:val="auto"/>
              </w:rPr>
              <w:t>Inspection of Background Papers</w:t>
            </w:r>
          </w:p>
          <w:p w14:paraId="5C83939C" w14:textId="77777777" w:rsidR="00B61E2B" w:rsidRPr="0014205D" w:rsidRDefault="00B61E2B" w:rsidP="004A5247">
            <w:pPr>
              <w:spacing w:before="60" w:after="60"/>
              <w:ind w:left="33"/>
              <w:rPr>
                <w:rFonts w:cs="Arial"/>
                <w:color w:val="auto"/>
              </w:rPr>
            </w:pPr>
          </w:p>
        </w:tc>
        <w:tc>
          <w:tcPr>
            <w:tcW w:w="2299" w:type="dxa"/>
          </w:tcPr>
          <w:p w14:paraId="5C83939D"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Each Head of Service for their service area reports</w:t>
            </w:r>
          </w:p>
        </w:tc>
      </w:tr>
      <w:tr w:rsidR="00B61E2B" w:rsidRPr="0014205D" w14:paraId="5C8393A3" w14:textId="77777777" w:rsidTr="00B61E2B">
        <w:trPr>
          <w:trHeight w:val="1020"/>
        </w:trPr>
        <w:tc>
          <w:tcPr>
            <w:tcW w:w="2093" w:type="dxa"/>
            <w:vMerge/>
          </w:tcPr>
          <w:p w14:paraId="5C83939F" w14:textId="77777777" w:rsidR="00B61E2B" w:rsidRPr="0014205D" w:rsidRDefault="00B61E2B" w:rsidP="004A5247">
            <w:pPr>
              <w:spacing w:before="60" w:after="60"/>
              <w:ind w:left="84"/>
              <w:rPr>
                <w:rFonts w:cs="Arial"/>
                <w:color w:val="auto"/>
              </w:rPr>
            </w:pPr>
          </w:p>
        </w:tc>
        <w:tc>
          <w:tcPr>
            <w:tcW w:w="1483" w:type="dxa"/>
          </w:tcPr>
          <w:p w14:paraId="5C8393A0" w14:textId="77777777" w:rsidR="00B61E2B" w:rsidRPr="0014205D" w:rsidRDefault="00B61E2B" w:rsidP="004A5247">
            <w:pPr>
              <w:spacing w:before="60" w:after="60"/>
              <w:ind w:hanging="1"/>
              <w:rPr>
                <w:rFonts w:cs="Arial"/>
                <w:color w:val="auto"/>
              </w:rPr>
            </w:pPr>
            <w:r w:rsidRPr="0014205D">
              <w:rPr>
                <w:rFonts w:cs="Arial"/>
                <w:color w:val="auto"/>
              </w:rPr>
              <w:t>Regulation 16</w:t>
            </w:r>
          </w:p>
        </w:tc>
        <w:tc>
          <w:tcPr>
            <w:tcW w:w="3053" w:type="dxa"/>
          </w:tcPr>
          <w:p w14:paraId="5C8393A1" w14:textId="77777777" w:rsidR="00B61E2B" w:rsidRPr="0014205D" w:rsidDel="00A74C86" w:rsidRDefault="00B61E2B" w:rsidP="004A5247">
            <w:pPr>
              <w:spacing w:before="60" w:after="60"/>
              <w:ind w:left="33"/>
              <w:rPr>
                <w:rFonts w:cs="Arial"/>
                <w:color w:val="auto"/>
              </w:rPr>
            </w:pPr>
            <w:r w:rsidRPr="0014205D">
              <w:rPr>
                <w:rFonts w:cs="Arial"/>
                <w:color w:val="auto"/>
              </w:rPr>
              <w:t>Exemptions from rights of access to certain documents</w:t>
            </w:r>
          </w:p>
        </w:tc>
        <w:tc>
          <w:tcPr>
            <w:tcW w:w="2299" w:type="dxa"/>
          </w:tcPr>
          <w:p w14:paraId="5C8393A2" w14:textId="77777777" w:rsidR="00B61E2B" w:rsidRPr="0014205D" w:rsidRDefault="00B61E2B" w:rsidP="004A5247">
            <w:pPr>
              <w:autoSpaceDE w:val="0"/>
              <w:autoSpaceDN w:val="0"/>
              <w:adjustRightInd w:val="0"/>
              <w:spacing w:before="60" w:after="60"/>
              <w:ind w:left="33" w:right="17"/>
              <w:rPr>
                <w:rFonts w:eastAsia="Batang" w:cs="Arial"/>
              </w:rPr>
            </w:pPr>
            <w:r w:rsidRPr="0014205D">
              <w:rPr>
                <w:rFonts w:eastAsia="Batang" w:cs="Arial"/>
              </w:rPr>
              <w:t>Head of Law and Governance</w:t>
            </w:r>
          </w:p>
        </w:tc>
      </w:tr>
      <w:tr w:rsidR="00B61E2B" w:rsidRPr="0014205D" w14:paraId="5C8393A8" w14:textId="77777777" w:rsidTr="00B61E2B">
        <w:trPr>
          <w:trHeight w:val="1020"/>
        </w:trPr>
        <w:tc>
          <w:tcPr>
            <w:tcW w:w="2093" w:type="dxa"/>
            <w:vMerge/>
          </w:tcPr>
          <w:p w14:paraId="5C8393A4" w14:textId="77777777" w:rsidR="00B61E2B" w:rsidRPr="0014205D" w:rsidRDefault="00B61E2B" w:rsidP="004A5247">
            <w:pPr>
              <w:spacing w:before="60"/>
              <w:ind w:left="84"/>
              <w:rPr>
                <w:rFonts w:cs="Arial"/>
                <w:color w:val="FF0000"/>
              </w:rPr>
            </w:pPr>
          </w:p>
        </w:tc>
        <w:tc>
          <w:tcPr>
            <w:tcW w:w="1483" w:type="dxa"/>
          </w:tcPr>
          <w:p w14:paraId="5C8393A5" w14:textId="77777777" w:rsidR="00B61E2B" w:rsidRPr="0014205D" w:rsidRDefault="00B61E2B" w:rsidP="004A5247">
            <w:pPr>
              <w:spacing w:before="60"/>
              <w:ind w:hanging="1"/>
              <w:rPr>
                <w:rFonts w:cs="Arial"/>
                <w:color w:val="auto"/>
              </w:rPr>
            </w:pPr>
            <w:r w:rsidRPr="0014205D">
              <w:rPr>
                <w:rFonts w:cs="Arial"/>
                <w:color w:val="auto"/>
              </w:rPr>
              <w:t>Regulation 20</w:t>
            </w:r>
          </w:p>
        </w:tc>
        <w:tc>
          <w:tcPr>
            <w:tcW w:w="3053" w:type="dxa"/>
          </w:tcPr>
          <w:p w14:paraId="5C8393A6" w14:textId="77777777" w:rsidR="00B61E2B" w:rsidRPr="0014205D" w:rsidRDefault="00B61E2B" w:rsidP="004A5247">
            <w:pPr>
              <w:spacing w:before="60"/>
              <w:ind w:left="33"/>
              <w:rPr>
                <w:rFonts w:cs="Arial"/>
                <w:color w:val="auto"/>
              </w:rPr>
            </w:pPr>
            <w:r w:rsidRPr="0014205D">
              <w:rPr>
                <w:rFonts w:cs="Arial"/>
                <w:color w:val="auto"/>
              </w:rPr>
              <w:t xml:space="preserve">Confidential information, exempt information and advice of a political adviser or assistant </w:t>
            </w:r>
          </w:p>
        </w:tc>
        <w:tc>
          <w:tcPr>
            <w:tcW w:w="2299" w:type="dxa"/>
          </w:tcPr>
          <w:p w14:paraId="5C8393A7" w14:textId="77777777" w:rsidR="00B61E2B" w:rsidRPr="0014205D" w:rsidRDefault="00B61E2B" w:rsidP="004A5247">
            <w:pPr>
              <w:autoSpaceDE w:val="0"/>
              <w:autoSpaceDN w:val="0"/>
              <w:adjustRightInd w:val="0"/>
              <w:spacing w:before="60"/>
              <w:ind w:left="33" w:right="17"/>
              <w:rPr>
                <w:rFonts w:eastAsia="Batang" w:cs="Arial"/>
                <w:color w:val="FF0000"/>
              </w:rPr>
            </w:pPr>
            <w:r w:rsidRPr="0014205D">
              <w:rPr>
                <w:rFonts w:eastAsia="Batang" w:cs="Arial"/>
              </w:rPr>
              <w:t>Head of Law and Governance</w:t>
            </w:r>
          </w:p>
        </w:tc>
      </w:tr>
    </w:tbl>
    <w:p w14:paraId="5C8393A9" w14:textId="77777777" w:rsidR="00044F0D" w:rsidRDefault="00044F0D" w:rsidP="00364B08"/>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45D7" w14:textId="77777777" w:rsidR="009E6725" w:rsidRDefault="009E6725" w:rsidP="004A6D2F">
      <w:r>
        <w:separator/>
      </w:r>
    </w:p>
  </w:endnote>
  <w:endnote w:type="continuationSeparator" w:id="0">
    <w:p w14:paraId="152D5F39" w14:textId="77777777" w:rsidR="009E6725" w:rsidRDefault="009E672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93AF" w14:textId="77777777" w:rsidR="00641712" w:rsidRDefault="00641712" w:rsidP="004A6D2F">
    <w:r>
      <w:t>Do not use a footer or page numbers.</w:t>
    </w:r>
  </w:p>
  <w:p w14:paraId="5C8393B0" w14:textId="77777777" w:rsidR="00641712" w:rsidRDefault="00641712" w:rsidP="004A6D2F"/>
  <w:p w14:paraId="5C8393B1" w14:textId="77777777" w:rsidR="00641712" w:rsidRDefault="00641712" w:rsidP="004A6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93B2" w14:textId="77777777" w:rsidR="00175754" w:rsidRPr="00AE42D6" w:rsidRDefault="004524D5" w:rsidP="00B61E2B">
    <w:pPr>
      <w:pStyle w:val="Footer"/>
    </w:pPr>
    <w:r>
      <w:t>P</w:t>
    </w:r>
    <w:r w:rsidR="00175754" w:rsidRPr="00AE42D6">
      <w:t xml:space="preserve">art </w:t>
    </w:r>
    <w:r w:rsidR="0014205D">
      <w:t>10 Proper Officers</w:t>
    </w:r>
  </w:p>
  <w:p w14:paraId="5C8393B3" w14:textId="3CB580CA" w:rsidR="00532E5D" w:rsidRPr="00AE42D6" w:rsidRDefault="0018331D" w:rsidP="00532E5D">
    <w:pPr>
      <w:pStyle w:val="Footer"/>
      <w:jc w:val="right"/>
    </w:pPr>
    <w:r>
      <w:t>October</w:t>
    </w:r>
    <w:r w:rsidR="00B779A1">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93B5" w14:textId="77777777" w:rsidR="00175754" w:rsidRDefault="00175754">
    <w:r>
      <w:t>July 2019</w:t>
    </w:r>
  </w:p>
  <w:p w14:paraId="5C8393B6" w14:textId="77777777" w:rsidR="00641712" w:rsidRPr="00175754" w:rsidRDefault="00641712" w:rsidP="00175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6C5D" w14:textId="77777777" w:rsidR="009E6725" w:rsidRDefault="009E6725" w:rsidP="004A6D2F">
      <w:r>
        <w:separator/>
      </w:r>
    </w:p>
  </w:footnote>
  <w:footnote w:type="continuationSeparator" w:id="0">
    <w:p w14:paraId="64207C9C" w14:textId="77777777" w:rsidR="009E6725" w:rsidRDefault="009E6725"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93AE" w14:textId="77777777" w:rsidR="00175754" w:rsidRPr="00AE42D6" w:rsidRDefault="00175754" w:rsidP="00B61E2B">
    <w:pPr>
      <w:pStyle w:val="Header"/>
    </w:pPr>
    <w:r w:rsidRPr="00AE42D6">
      <w:t xml:space="preserve">Constitution - Oxford City Council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93B4" w14:textId="77777777" w:rsidR="00641712" w:rsidRDefault="00641712" w:rsidP="00D554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A784B09"/>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9D2566B"/>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6846C8"/>
    <w:multiLevelType w:val="multilevel"/>
    <w:tmpl w:val="DDF0E354"/>
    <w:lvl w:ilvl="0">
      <w:start w:val="1"/>
      <w:numFmt w:val="decimal"/>
      <w:pStyle w:val="Heading2"/>
      <w:lvlText w:val="1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35B0E89"/>
    <w:multiLevelType w:val="hybridMultilevel"/>
    <w:tmpl w:val="CE0414EA"/>
    <w:lvl w:ilvl="0" w:tplc="D58E1FF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DF62909"/>
    <w:multiLevelType w:val="hybridMultilevel"/>
    <w:tmpl w:val="965819E4"/>
    <w:lvl w:ilvl="0" w:tplc="8EFAB94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365C6"/>
    <w:multiLevelType w:val="multilevel"/>
    <w:tmpl w:val="1F9ADAC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C300CEE"/>
    <w:multiLevelType w:val="hybridMultilevel"/>
    <w:tmpl w:val="94FE56D4"/>
    <w:lvl w:ilvl="0" w:tplc="55540E82">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7D4A646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29813056">
    <w:abstractNumId w:val="6"/>
  </w:num>
  <w:num w:numId="2" w16cid:durableId="437911589">
    <w:abstractNumId w:val="25"/>
  </w:num>
  <w:num w:numId="3" w16cid:durableId="1893541652">
    <w:abstractNumId w:val="10"/>
  </w:num>
  <w:num w:numId="4" w16cid:durableId="573321917">
    <w:abstractNumId w:val="8"/>
  </w:num>
  <w:num w:numId="5" w16cid:durableId="113445753">
    <w:abstractNumId w:val="20"/>
  </w:num>
  <w:num w:numId="6" w16cid:durableId="1188757803">
    <w:abstractNumId w:val="24"/>
  </w:num>
  <w:num w:numId="7" w16cid:durableId="1975207425">
    <w:abstractNumId w:val="16"/>
  </w:num>
  <w:num w:numId="8" w16cid:durableId="1825200924">
    <w:abstractNumId w:val="1"/>
  </w:num>
  <w:num w:numId="9" w16cid:durableId="127091105">
    <w:abstractNumId w:val="4"/>
  </w:num>
  <w:num w:numId="10" w16cid:durableId="1154955600">
    <w:abstractNumId w:val="13"/>
  </w:num>
  <w:num w:numId="11" w16cid:durableId="905186848">
    <w:abstractNumId w:val="22"/>
  </w:num>
  <w:num w:numId="12" w16cid:durableId="241380090">
    <w:abstractNumId w:val="18"/>
  </w:num>
  <w:num w:numId="13" w16cid:durableId="1276329918">
    <w:abstractNumId w:val="17"/>
  </w:num>
  <w:num w:numId="14" w16cid:durableId="862983021">
    <w:abstractNumId w:val="19"/>
  </w:num>
  <w:num w:numId="15" w16cid:durableId="42363537">
    <w:abstractNumId w:val="21"/>
  </w:num>
  <w:num w:numId="16" w16cid:durableId="1634409976">
    <w:abstractNumId w:val="14"/>
  </w:num>
  <w:num w:numId="17" w16cid:durableId="1462574157">
    <w:abstractNumId w:val="15"/>
  </w:num>
  <w:num w:numId="18" w16cid:durableId="107893930">
    <w:abstractNumId w:val="11"/>
  </w:num>
  <w:num w:numId="19" w16cid:durableId="1419475882">
    <w:abstractNumId w:val="7"/>
  </w:num>
  <w:num w:numId="20" w16cid:durableId="2131852532">
    <w:abstractNumId w:val="24"/>
  </w:num>
  <w:num w:numId="21" w16cid:durableId="1282571476">
    <w:abstractNumId w:val="12"/>
  </w:num>
  <w:num w:numId="22" w16cid:durableId="169218206">
    <w:abstractNumId w:val="5"/>
  </w:num>
  <w:num w:numId="23" w16cid:durableId="1775855842">
    <w:abstractNumId w:val="0"/>
  </w:num>
  <w:num w:numId="24" w16cid:durableId="149754533">
    <w:abstractNumId w:val="9"/>
  </w:num>
  <w:num w:numId="25" w16cid:durableId="473836806">
    <w:abstractNumId w:val="16"/>
  </w:num>
  <w:num w:numId="26" w16cid:durableId="1638678681">
    <w:abstractNumId w:val="23"/>
  </w:num>
  <w:num w:numId="27" w16cid:durableId="1620801251">
    <w:abstractNumId w:val="3"/>
  </w:num>
  <w:num w:numId="28" w16cid:durableId="716782128">
    <w:abstractNumId w:val="2"/>
  </w:num>
  <w:num w:numId="29" w16cid:durableId="178037455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4205D"/>
    <w:rsid w:val="00151888"/>
    <w:rsid w:val="0015604C"/>
    <w:rsid w:val="00170A2D"/>
    <w:rsid w:val="00175754"/>
    <w:rsid w:val="001808BC"/>
    <w:rsid w:val="00182B81"/>
    <w:rsid w:val="0018331D"/>
    <w:rsid w:val="0018619D"/>
    <w:rsid w:val="00194099"/>
    <w:rsid w:val="001A011E"/>
    <w:rsid w:val="001A066A"/>
    <w:rsid w:val="001A13E6"/>
    <w:rsid w:val="001A5731"/>
    <w:rsid w:val="001B42C3"/>
    <w:rsid w:val="001C5D5E"/>
    <w:rsid w:val="001D678D"/>
    <w:rsid w:val="001E03F8"/>
    <w:rsid w:val="001E1678"/>
    <w:rsid w:val="001E3376"/>
    <w:rsid w:val="002069B3"/>
    <w:rsid w:val="002162CE"/>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37DAF"/>
    <w:rsid w:val="00340383"/>
    <w:rsid w:val="00364B08"/>
    <w:rsid w:val="00364FAD"/>
    <w:rsid w:val="0036738F"/>
    <w:rsid w:val="0036759C"/>
    <w:rsid w:val="00367AE5"/>
    <w:rsid w:val="00367D71"/>
    <w:rsid w:val="00374F2C"/>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172B"/>
    <w:rsid w:val="00433B96"/>
    <w:rsid w:val="004440F1"/>
    <w:rsid w:val="004456DD"/>
    <w:rsid w:val="00446CDF"/>
    <w:rsid w:val="004521B7"/>
    <w:rsid w:val="004524D5"/>
    <w:rsid w:val="004532A7"/>
    <w:rsid w:val="00462AB5"/>
    <w:rsid w:val="00465A05"/>
    <w:rsid w:val="00465EAF"/>
    <w:rsid w:val="004738C5"/>
    <w:rsid w:val="00491046"/>
    <w:rsid w:val="004A2AC7"/>
    <w:rsid w:val="004A5247"/>
    <w:rsid w:val="004A6D2F"/>
    <w:rsid w:val="004B460B"/>
    <w:rsid w:val="004C2887"/>
    <w:rsid w:val="004D2626"/>
    <w:rsid w:val="004D6E26"/>
    <w:rsid w:val="004D77D3"/>
    <w:rsid w:val="004D7CAA"/>
    <w:rsid w:val="004E0F29"/>
    <w:rsid w:val="004E2959"/>
    <w:rsid w:val="004F102D"/>
    <w:rsid w:val="004F10A1"/>
    <w:rsid w:val="004F20EF"/>
    <w:rsid w:val="00503178"/>
    <w:rsid w:val="0050321C"/>
    <w:rsid w:val="00532E5D"/>
    <w:rsid w:val="0054712D"/>
    <w:rsid w:val="00547EF6"/>
    <w:rsid w:val="005545E4"/>
    <w:rsid w:val="005570B5"/>
    <w:rsid w:val="00567E18"/>
    <w:rsid w:val="005724D6"/>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1AD"/>
    <w:rsid w:val="00614693"/>
    <w:rsid w:val="00623C2F"/>
    <w:rsid w:val="00633578"/>
    <w:rsid w:val="00637068"/>
    <w:rsid w:val="00641712"/>
    <w:rsid w:val="00650811"/>
    <w:rsid w:val="00661D3E"/>
    <w:rsid w:val="00663C70"/>
    <w:rsid w:val="006701DC"/>
    <w:rsid w:val="00692627"/>
    <w:rsid w:val="006969E7"/>
    <w:rsid w:val="006A2EE3"/>
    <w:rsid w:val="006A3643"/>
    <w:rsid w:val="006B5982"/>
    <w:rsid w:val="006C2A29"/>
    <w:rsid w:val="006C64CF"/>
    <w:rsid w:val="006D17B1"/>
    <w:rsid w:val="006D2A1C"/>
    <w:rsid w:val="006D4752"/>
    <w:rsid w:val="006D63FA"/>
    <w:rsid w:val="006D708A"/>
    <w:rsid w:val="006E14C1"/>
    <w:rsid w:val="006F0292"/>
    <w:rsid w:val="006F0FB8"/>
    <w:rsid w:val="006F27FA"/>
    <w:rsid w:val="006F416B"/>
    <w:rsid w:val="006F519B"/>
    <w:rsid w:val="00703855"/>
    <w:rsid w:val="00713675"/>
    <w:rsid w:val="00715823"/>
    <w:rsid w:val="007315F5"/>
    <w:rsid w:val="00737B5F"/>
    <w:rsid w:val="00737B93"/>
    <w:rsid w:val="00745BF0"/>
    <w:rsid w:val="007615FE"/>
    <w:rsid w:val="00764B69"/>
    <w:rsid w:val="0076655C"/>
    <w:rsid w:val="00771583"/>
    <w:rsid w:val="007742DC"/>
    <w:rsid w:val="00791437"/>
    <w:rsid w:val="00796FDB"/>
    <w:rsid w:val="007B0C2C"/>
    <w:rsid w:val="007B278E"/>
    <w:rsid w:val="007C5C23"/>
    <w:rsid w:val="007E0CFE"/>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B98"/>
    <w:rsid w:val="00966D42"/>
    <w:rsid w:val="00971689"/>
    <w:rsid w:val="00973E90"/>
    <w:rsid w:val="00975B07"/>
    <w:rsid w:val="00980B4A"/>
    <w:rsid w:val="009D5796"/>
    <w:rsid w:val="009E3D0A"/>
    <w:rsid w:val="009E51FC"/>
    <w:rsid w:val="009E6725"/>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61E2B"/>
    <w:rsid w:val="00B779A1"/>
    <w:rsid w:val="00B86314"/>
    <w:rsid w:val="00BA1C2E"/>
    <w:rsid w:val="00BB2DAD"/>
    <w:rsid w:val="00BB4BAC"/>
    <w:rsid w:val="00BC200B"/>
    <w:rsid w:val="00BC4756"/>
    <w:rsid w:val="00BC5362"/>
    <w:rsid w:val="00BC69A4"/>
    <w:rsid w:val="00BE0680"/>
    <w:rsid w:val="00BE305F"/>
    <w:rsid w:val="00BE7BA3"/>
    <w:rsid w:val="00BF5682"/>
    <w:rsid w:val="00BF7B09"/>
    <w:rsid w:val="00C002C5"/>
    <w:rsid w:val="00C01C49"/>
    <w:rsid w:val="00C074A0"/>
    <w:rsid w:val="00C20A95"/>
    <w:rsid w:val="00C2692F"/>
    <w:rsid w:val="00C3207C"/>
    <w:rsid w:val="00C400E1"/>
    <w:rsid w:val="00C41187"/>
    <w:rsid w:val="00C61418"/>
    <w:rsid w:val="00C63C31"/>
    <w:rsid w:val="00C67822"/>
    <w:rsid w:val="00C757A0"/>
    <w:rsid w:val="00C760DE"/>
    <w:rsid w:val="00C80E01"/>
    <w:rsid w:val="00C82630"/>
    <w:rsid w:val="00C85B4E"/>
    <w:rsid w:val="00C907F7"/>
    <w:rsid w:val="00C9438F"/>
    <w:rsid w:val="00CA1CEA"/>
    <w:rsid w:val="00CA2103"/>
    <w:rsid w:val="00CB0C76"/>
    <w:rsid w:val="00CB6B99"/>
    <w:rsid w:val="00CE4C87"/>
    <w:rsid w:val="00CE544A"/>
    <w:rsid w:val="00D11E1C"/>
    <w:rsid w:val="00D160B0"/>
    <w:rsid w:val="00D17F94"/>
    <w:rsid w:val="00D223FC"/>
    <w:rsid w:val="00D26D1E"/>
    <w:rsid w:val="00D2739C"/>
    <w:rsid w:val="00D3348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1E34"/>
    <w:rsid w:val="00FA624C"/>
    <w:rsid w:val="00FB7CBB"/>
    <w:rsid w:val="00FD0FAC"/>
    <w:rsid w:val="00FD10A2"/>
    <w:rsid w:val="00FD1DFA"/>
    <w:rsid w:val="00FD4966"/>
    <w:rsid w:val="00FE09C3"/>
    <w:rsid w:val="00FE57DC"/>
    <w:rsid w:val="00FF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39239"/>
  <w15:docId w15:val="{8322D11B-0E09-4C66-96A9-6BAC4653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A0"/>
    <w:rPr>
      <w:color w:val="000000"/>
      <w:sz w:val="24"/>
      <w:szCs w:val="24"/>
    </w:rPr>
  </w:style>
  <w:style w:type="paragraph" w:styleId="Heading1">
    <w:name w:val="heading 1"/>
    <w:aliases w:val="aMainHeader"/>
    <w:basedOn w:val="Normal"/>
    <w:next w:val="Normal"/>
    <w:link w:val="Heading1Char"/>
    <w:qFormat/>
    <w:rsid w:val="00C074A0"/>
    <w:pPr>
      <w:ind w:left="567" w:hanging="709"/>
      <w:outlineLvl w:val="0"/>
    </w:pPr>
    <w:rPr>
      <w:b/>
      <w:color w:val="auto"/>
      <w:sz w:val="28"/>
      <w:szCs w:val="28"/>
      <w:lang w:eastAsia="en-US"/>
    </w:rPr>
  </w:style>
  <w:style w:type="paragraph" w:styleId="Heading2">
    <w:name w:val="heading 2"/>
    <w:aliases w:val="bHeader"/>
    <w:basedOn w:val="Normal"/>
    <w:next w:val="Normal"/>
    <w:qFormat/>
    <w:rsid w:val="002162CE"/>
    <w:pPr>
      <w:numPr>
        <w:numId w:val="29"/>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162CE"/>
    <w:pPr>
      <w:numPr>
        <w:numId w:val="2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C074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074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74A0"/>
    <w:rPr>
      <w:rFonts w:ascii="Tahoma" w:hAnsi="Tahoma" w:cs="Tahoma"/>
      <w:sz w:val="16"/>
      <w:szCs w:val="16"/>
    </w:rPr>
  </w:style>
  <w:style w:type="character" w:customStyle="1" w:styleId="BalloonTextChar">
    <w:name w:val="Balloon Text Char"/>
    <w:basedOn w:val="DefaultParagraphFont"/>
    <w:link w:val="BalloonText"/>
    <w:rsid w:val="00C074A0"/>
    <w:rPr>
      <w:rFonts w:ascii="Tahoma" w:hAnsi="Tahoma" w:cs="Tahoma"/>
      <w:color w:val="000000"/>
      <w:sz w:val="16"/>
      <w:szCs w:val="16"/>
    </w:rPr>
  </w:style>
  <w:style w:type="paragraph" w:styleId="Caption">
    <w:name w:val="caption"/>
    <w:aliases w:val="Figure/TableCaption"/>
    <w:basedOn w:val="Normal"/>
    <w:next w:val="Normal"/>
    <w:unhideWhenUsed/>
    <w:qFormat/>
    <w:rsid w:val="006B5982"/>
    <w:pPr>
      <w:keepNext/>
      <w:ind w:left="567"/>
      <w:jc w:val="center"/>
    </w:pPr>
    <w:rPr>
      <w:b/>
    </w:rPr>
  </w:style>
  <w:style w:type="character" w:styleId="CommentReference">
    <w:name w:val="annotation reference"/>
    <w:rsid w:val="00C074A0"/>
    <w:rPr>
      <w:sz w:val="16"/>
      <w:szCs w:val="16"/>
    </w:rPr>
  </w:style>
  <w:style w:type="paragraph" w:styleId="CommentText">
    <w:name w:val="annotation text"/>
    <w:basedOn w:val="Normal"/>
    <w:link w:val="CommentTextChar"/>
    <w:rsid w:val="00C074A0"/>
    <w:rPr>
      <w:sz w:val="20"/>
      <w:szCs w:val="20"/>
    </w:rPr>
  </w:style>
  <w:style w:type="character" w:customStyle="1" w:styleId="CommentTextChar">
    <w:name w:val="Comment Text Char"/>
    <w:basedOn w:val="DefaultParagraphFont"/>
    <w:link w:val="CommentText"/>
    <w:rsid w:val="00C074A0"/>
    <w:rPr>
      <w:color w:val="000000"/>
    </w:rPr>
  </w:style>
  <w:style w:type="paragraph" w:styleId="CommentSubject">
    <w:name w:val="annotation subject"/>
    <w:basedOn w:val="CommentText"/>
    <w:next w:val="CommentText"/>
    <w:link w:val="CommentSubjectChar"/>
    <w:rsid w:val="00C074A0"/>
    <w:rPr>
      <w:b/>
      <w:bCs/>
    </w:rPr>
  </w:style>
  <w:style w:type="character" w:customStyle="1" w:styleId="CommentSubjectChar">
    <w:name w:val="Comment Subject Char"/>
    <w:basedOn w:val="CommentTextChar"/>
    <w:link w:val="CommentSubject"/>
    <w:rsid w:val="00C074A0"/>
    <w:rPr>
      <w:b/>
      <w:bCs/>
      <w:color w:val="000000"/>
    </w:rPr>
  </w:style>
  <w:style w:type="paragraph" w:customStyle="1" w:styleId="dBulletpoints">
    <w:name w:val="dBullet points"/>
    <w:basedOn w:val="Normal"/>
    <w:link w:val="dBulletpointsChar"/>
    <w:qFormat/>
    <w:rsid w:val="002162CE"/>
    <w:pPr>
      <w:numPr>
        <w:numId w:val="20"/>
      </w:numPr>
      <w:spacing w:after="120"/>
      <w:ind w:left="1276" w:hanging="283"/>
    </w:pPr>
    <w:rPr>
      <w:color w:val="auto"/>
      <w:lang w:eastAsia="en-US"/>
    </w:rPr>
  </w:style>
  <w:style w:type="character" w:customStyle="1" w:styleId="dBulletpointsChar">
    <w:name w:val="dBullet points Char"/>
    <w:link w:val="dBulletpoints"/>
    <w:rsid w:val="002162CE"/>
    <w:rPr>
      <w:sz w:val="24"/>
      <w:szCs w:val="24"/>
      <w:lang w:eastAsia="en-US"/>
    </w:rPr>
  </w:style>
  <w:style w:type="paragraph" w:customStyle="1" w:styleId="dLetterListPara">
    <w:name w:val="dLetterListPara"/>
    <w:basedOn w:val="Normal"/>
    <w:link w:val="dLetterListParaChar"/>
    <w:qFormat/>
    <w:rsid w:val="00C074A0"/>
    <w:pPr>
      <w:spacing w:after="120"/>
      <w:ind w:left="992"/>
    </w:pPr>
    <w:rPr>
      <w:color w:val="auto"/>
      <w:lang w:eastAsia="en-US"/>
    </w:rPr>
  </w:style>
  <w:style w:type="character" w:customStyle="1" w:styleId="dLetterListParaChar">
    <w:name w:val="dLetterListPara Char"/>
    <w:basedOn w:val="DefaultParagraphFont"/>
    <w:link w:val="dLetterListPara"/>
    <w:rsid w:val="00C074A0"/>
    <w:rPr>
      <w:sz w:val="24"/>
      <w:szCs w:val="24"/>
      <w:lang w:eastAsia="en-US"/>
    </w:rPr>
  </w:style>
  <w:style w:type="paragraph" w:customStyle="1" w:styleId="dLetterLettPara">
    <w:name w:val="dLetterLettPara"/>
    <w:basedOn w:val="dLetterListPara"/>
    <w:link w:val="dLetterLettParaChar"/>
    <w:qFormat/>
    <w:rsid w:val="002162CE"/>
    <w:pPr>
      <w:numPr>
        <w:numId w:val="21"/>
      </w:numPr>
      <w:ind w:left="993" w:hanging="426"/>
    </w:pPr>
  </w:style>
  <w:style w:type="character" w:customStyle="1" w:styleId="dLetterLettParaChar">
    <w:name w:val="dLetterLettPara Char"/>
    <w:basedOn w:val="dLetterListParaChar"/>
    <w:link w:val="dLetterLettPara"/>
    <w:rsid w:val="002162CE"/>
    <w:rPr>
      <w:sz w:val="24"/>
      <w:szCs w:val="24"/>
      <w:lang w:eastAsia="en-US"/>
    </w:rPr>
  </w:style>
  <w:style w:type="paragraph" w:customStyle="1" w:styleId="dNormParatext">
    <w:name w:val="dNormPara text"/>
    <w:basedOn w:val="Normal"/>
    <w:link w:val="dNormParatextChar"/>
    <w:qFormat/>
    <w:rsid w:val="00C074A0"/>
    <w:pPr>
      <w:spacing w:after="120"/>
      <w:ind w:left="567"/>
    </w:pPr>
    <w:rPr>
      <w:color w:val="auto"/>
      <w:lang w:eastAsia="en-US"/>
    </w:rPr>
  </w:style>
  <w:style w:type="character" w:customStyle="1" w:styleId="dNormParatextChar">
    <w:name w:val="dNormPara text Char"/>
    <w:link w:val="dNormParatext"/>
    <w:rsid w:val="00C074A0"/>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C074A0"/>
    <w:pPr>
      <w:numPr>
        <w:numId w:val="22"/>
      </w:numPr>
    </w:pPr>
  </w:style>
  <w:style w:type="paragraph" w:customStyle="1" w:styleId="eRomanSubList">
    <w:name w:val="eRomanSubList"/>
    <w:basedOn w:val="dLetterListPara"/>
    <w:link w:val="eRomanSubListChar"/>
    <w:qFormat/>
    <w:rsid w:val="00C074A0"/>
    <w:pPr>
      <w:numPr>
        <w:numId w:val="23"/>
      </w:numPr>
    </w:pPr>
  </w:style>
  <w:style w:type="character" w:customStyle="1" w:styleId="eRomanSubListChar">
    <w:name w:val="eRomanSubList Char"/>
    <w:link w:val="eRomanSubList"/>
    <w:rsid w:val="00C074A0"/>
    <w:rPr>
      <w:sz w:val="24"/>
      <w:szCs w:val="24"/>
      <w:lang w:eastAsia="en-US"/>
    </w:rPr>
  </w:style>
  <w:style w:type="paragraph" w:styleId="Header">
    <w:name w:val="header"/>
    <w:aliases w:val="zzPageHeader"/>
    <w:basedOn w:val="Normal"/>
    <w:link w:val="HeaderChar"/>
    <w:uiPriority w:val="99"/>
    <w:qFormat/>
    <w:rsid w:val="00C074A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074A0"/>
    <w:rPr>
      <w:color w:val="0000FF"/>
      <w:sz w:val="28"/>
      <w:szCs w:val="28"/>
    </w:rPr>
  </w:style>
  <w:style w:type="paragraph" w:styleId="Footer">
    <w:name w:val="footer"/>
    <w:aliases w:val="zzFooter"/>
    <w:basedOn w:val="Header"/>
    <w:link w:val="FooterChar"/>
    <w:uiPriority w:val="99"/>
    <w:qFormat/>
    <w:rsid w:val="00C074A0"/>
    <w:rPr>
      <w:sz w:val="22"/>
      <w:szCs w:val="22"/>
    </w:rPr>
  </w:style>
  <w:style w:type="character" w:customStyle="1" w:styleId="FooterChar">
    <w:name w:val="Footer Char"/>
    <w:aliases w:val="zzFooter Char"/>
    <w:basedOn w:val="DefaultParagraphFont"/>
    <w:link w:val="Footer"/>
    <w:uiPriority w:val="99"/>
    <w:rsid w:val="00C074A0"/>
    <w:rPr>
      <w:color w:val="0000FF"/>
      <w:sz w:val="22"/>
      <w:szCs w:val="22"/>
    </w:rPr>
  </w:style>
  <w:style w:type="character" w:styleId="FootnoteReference">
    <w:name w:val="footnote reference"/>
    <w:basedOn w:val="DefaultParagraphFont"/>
    <w:rsid w:val="00C074A0"/>
    <w:rPr>
      <w:vertAlign w:val="superscript"/>
    </w:rPr>
  </w:style>
  <w:style w:type="paragraph" w:styleId="FootnoteText">
    <w:name w:val="footnote text"/>
    <w:basedOn w:val="Normal"/>
    <w:link w:val="FootnoteTextChar"/>
    <w:qFormat/>
    <w:rsid w:val="00C074A0"/>
    <w:rPr>
      <w:i/>
      <w:color w:val="404040" w:themeColor="text1" w:themeTint="BF"/>
      <w:sz w:val="22"/>
      <w:szCs w:val="20"/>
    </w:rPr>
  </w:style>
  <w:style w:type="character" w:customStyle="1" w:styleId="FootnoteTextChar">
    <w:name w:val="Footnote Text Char"/>
    <w:basedOn w:val="DefaultParagraphFont"/>
    <w:link w:val="FootnoteText"/>
    <w:rsid w:val="00C074A0"/>
    <w:rPr>
      <w:i/>
      <w:color w:val="404040" w:themeColor="text1" w:themeTint="BF"/>
      <w:sz w:val="22"/>
    </w:rPr>
  </w:style>
  <w:style w:type="character" w:customStyle="1" w:styleId="Heading3Char">
    <w:name w:val="Heading 3 Char"/>
    <w:aliases w:val="cSectHeader Char"/>
    <w:basedOn w:val="DefaultParagraphFont"/>
    <w:link w:val="Heading3"/>
    <w:rsid w:val="002162CE"/>
    <w:rPr>
      <w:sz w:val="24"/>
      <w:szCs w:val="24"/>
      <w:lang w:eastAsia="en-US"/>
    </w:rPr>
  </w:style>
  <w:style w:type="character" w:customStyle="1" w:styleId="Heading4Char">
    <w:name w:val="Heading 4 Char"/>
    <w:basedOn w:val="DefaultParagraphFont"/>
    <w:link w:val="Heading4"/>
    <w:rsid w:val="00C074A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074A0"/>
    <w:rPr>
      <w:b/>
      <w:sz w:val="28"/>
      <w:szCs w:val="28"/>
      <w:lang w:eastAsia="en-US"/>
    </w:rPr>
  </w:style>
  <w:style w:type="character" w:styleId="Hyperlink">
    <w:name w:val="Hyperlink"/>
    <w:uiPriority w:val="99"/>
    <w:qFormat/>
    <w:rsid w:val="00C074A0"/>
    <w:rPr>
      <w:i/>
      <w:color w:val="0000FF"/>
      <w:u w:val="single"/>
    </w:rPr>
  </w:style>
  <w:style w:type="table" w:styleId="LightList-Accent2">
    <w:name w:val="Light List Accent 2"/>
    <w:basedOn w:val="TableNormal"/>
    <w:uiPriority w:val="61"/>
    <w:rsid w:val="00C074A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074A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C074A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C074A0"/>
    <w:pPr>
      <w:numPr>
        <w:numId w:val="28"/>
      </w:numPr>
      <w:tabs>
        <w:tab w:val="left" w:pos="426"/>
      </w:tabs>
    </w:pPr>
  </w:style>
  <w:style w:type="character" w:customStyle="1" w:styleId="ListParagraphChar">
    <w:name w:val="List Paragraph Char"/>
    <w:link w:val="ListParagraph"/>
    <w:uiPriority w:val="34"/>
    <w:rsid w:val="00C074A0"/>
    <w:rPr>
      <w:color w:val="000000"/>
      <w:sz w:val="24"/>
      <w:szCs w:val="24"/>
    </w:rPr>
  </w:style>
  <w:style w:type="paragraph" w:styleId="NoSpacing">
    <w:name w:val="No Spacing"/>
    <w:uiPriority w:val="1"/>
    <w:rsid w:val="00C074A0"/>
    <w:pPr>
      <w:spacing w:after="120"/>
    </w:pPr>
    <w:rPr>
      <w:color w:val="000000"/>
      <w:sz w:val="24"/>
      <w:szCs w:val="24"/>
      <w:lang w:eastAsia="en-US"/>
    </w:rPr>
  </w:style>
  <w:style w:type="paragraph" w:styleId="NormalWeb">
    <w:name w:val="Normal (Web)"/>
    <w:basedOn w:val="Normal"/>
    <w:rsid w:val="00C074A0"/>
    <w:pPr>
      <w:spacing w:before="100" w:beforeAutospacing="1" w:after="100" w:afterAutospacing="1"/>
    </w:pPr>
    <w:rPr>
      <w:rFonts w:ascii="Arial Unicode MS" w:eastAsia="Arial Unicode MS" w:hAnsi="Arial Unicode MS" w:cs="Arial Unicode MS"/>
    </w:rPr>
  </w:style>
  <w:style w:type="character" w:styleId="PageNumber">
    <w:name w:val="page number"/>
    <w:rsid w:val="00C074A0"/>
    <w:rPr>
      <w:rFonts w:ascii="Arial" w:hAnsi="Arial"/>
      <w:sz w:val="18"/>
    </w:rPr>
  </w:style>
  <w:style w:type="paragraph" w:styleId="Quote">
    <w:name w:val="Quote"/>
    <w:basedOn w:val="Normal"/>
    <w:next w:val="Normal"/>
    <w:link w:val="QuoteChar"/>
    <w:uiPriority w:val="29"/>
    <w:qFormat/>
    <w:rsid w:val="00C074A0"/>
    <w:rPr>
      <w:i/>
    </w:rPr>
  </w:style>
  <w:style w:type="character" w:customStyle="1" w:styleId="QuoteChar">
    <w:name w:val="Quote Char"/>
    <w:link w:val="Quote"/>
    <w:uiPriority w:val="29"/>
    <w:rsid w:val="00C074A0"/>
    <w:rPr>
      <w:i/>
      <w:color w:val="000000"/>
      <w:sz w:val="24"/>
      <w:szCs w:val="24"/>
    </w:rPr>
  </w:style>
  <w:style w:type="numbering" w:customStyle="1" w:styleId="StyleBulletedSymbolsymbolLeft063cmHanging063cm">
    <w:name w:val="Style Bulleted Symbol (symbol) Left:  0.63 cm Hanging:  0.63 cm"/>
    <w:basedOn w:val="NoList"/>
    <w:rsid w:val="00C074A0"/>
    <w:pPr>
      <w:numPr>
        <w:numId w:val="27"/>
      </w:numPr>
    </w:pPr>
  </w:style>
  <w:style w:type="numbering" w:customStyle="1" w:styleId="StyleNumberedLeft0cmHanging075cm">
    <w:name w:val="Style Numbered Left:  0 cm Hanging:  0.75 cm"/>
    <w:basedOn w:val="NoList"/>
    <w:rsid w:val="00C074A0"/>
    <w:pPr>
      <w:numPr>
        <w:numId w:val="28"/>
      </w:numPr>
    </w:pPr>
  </w:style>
  <w:style w:type="table" w:styleId="Table3Deffects1">
    <w:name w:val="Table 3D effects 1"/>
    <w:basedOn w:val="TableNormal"/>
    <w:rsid w:val="00C074A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74A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074A0"/>
    <w:pPr>
      <w:numPr>
        <w:numId w:val="0"/>
      </w:numPr>
    </w:pPr>
    <w:rPr>
      <w:bCs w:val="0"/>
      <w:szCs w:val="20"/>
    </w:rPr>
  </w:style>
  <w:style w:type="table" w:styleId="TableGrid">
    <w:name w:val="Table Grid"/>
    <w:basedOn w:val="TableNormal"/>
    <w:rsid w:val="00C074A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074A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074A0"/>
    <w:pPr>
      <w:spacing w:before="120"/>
    </w:pPr>
    <w:rPr>
      <w:rFonts w:ascii="Cambria" w:hAnsi="Cambria"/>
      <w:b/>
      <w:bCs/>
    </w:rPr>
  </w:style>
  <w:style w:type="paragraph" w:styleId="TOC1">
    <w:name w:val="toc 1"/>
    <w:basedOn w:val="Normal"/>
    <w:next w:val="Normal"/>
    <w:autoRedefine/>
    <w:uiPriority w:val="39"/>
    <w:qFormat/>
    <w:rsid w:val="00B61E2B"/>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C074A0"/>
  </w:style>
  <w:style w:type="paragraph" w:styleId="TOC3">
    <w:name w:val="toc 3"/>
    <w:basedOn w:val="Normal"/>
    <w:next w:val="Normal"/>
    <w:autoRedefine/>
    <w:uiPriority w:val="39"/>
    <w:rsid w:val="00C074A0"/>
    <w:pPr>
      <w:spacing w:after="100"/>
      <w:ind w:left="480"/>
    </w:pPr>
  </w:style>
  <w:style w:type="paragraph" w:styleId="TOCHeading">
    <w:name w:val="TOC Heading"/>
    <w:basedOn w:val="Heading1"/>
    <w:next w:val="Normal"/>
    <w:uiPriority w:val="39"/>
    <w:semiHidden/>
    <w:unhideWhenUsed/>
    <w:qFormat/>
    <w:rsid w:val="00C074A0"/>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 w:type="paragraph" w:styleId="BodyText">
    <w:name w:val="Body Text"/>
    <w:basedOn w:val="Normal"/>
    <w:link w:val="BodyTextChar"/>
    <w:semiHidden/>
    <w:unhideWhenUsed/>
    <w:rsid w:val="006051AD"/>
    <w:pPr>
      <w:spacing w:after="120"/>
    </w:pPr>
  </w:style>
  <w:style w:type="character" w:customStyle="1" w:styleId="BodyTextChar">
    <w:name w:val="Body Text Char"/>
    <w:basedOn w:val="DefaultParagraphFont"/>
    <w:link w:val="BodyText"/>
    <w:semiHidden/>
    <w:rsid w:val="006051A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BFA8-6AA4-4F8F-9659-BD2D2717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53</TotalTime>
  <Pages>8</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9539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MALTON Jonathan</cp:lastModifiedBy>
  <cp:revision>13</cp:revision>
  <cp:lastPrinted>2015-07-03T12:50:00Z</cp:lastPrinted>
  <dcterms:created xsi:type="dcterms:W3CDTF">2021-02-05T14:18:00Z</dcterms:created>
  <dcterms:modified xsi:type="dcterms:W3CDTF">2024-03-05T19:14:00Z</dcterms:modified>
</cp:coreProperties>
</file>