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615BA" w:rsidP="00F615BA">
            <w:pPr>
              <w:rPr>
                <w:rStyle w:val="Firstpagetablebold"/>
              </w:rPr>
            </w:pPr>
            <w:r>
              <w:rPr>
                <w:rStyle w:val="Firstpagetablebold"/>
              </w:rPr>
              <w:t>Housing Panel (Panel of the Scrutiny Committee)</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F615BA" w:rsidP="005D0621">
            <w:pPr>
              <w:rPr>
                <w:b/>
              </w:rPr>
            </w:pPr>
            <w:r>
              <w:rPr>
                <w:rStyle w:val="Firstpagetablebold"/>
              </w:rPr>
              <w:t>7 November</w:t>
            </w:r>
            <w:r w:rsidR="00472A45">
              <w:rPr>
                <w:rStyle w:val="Firstpagetablebold"/>
              </w:rPr>
              <w:t xml:space="preserve"> 2019</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F445B1" w:rsidP="00472A45">
            <w:pPr>
              <w:rPr>
                <w:rStyle w:val="Firstpagetablebold"/>
              </w:rPr>
            </w:pPr>
            <w:r w:rsidRPr="001356F1">
              <w:rPr>
                <w:rStyle w:val="Firstpagetablebold"/>
              </w:rPr>
              <w:t xml:space="preserve">Head of </w:t>
            </w:r>
            <w:r w:rsidR="00472A45">
              <w:rPr>
                <w:rStyle w:val="Firstpagetablebold"/>
              </w:rPr>
              <w:t>Housing Services</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F615BA" w:rsidP="00F615BA">
            <w:pPr>
              <w:rPr>
                <w:rStyle w:val="Firstpagetablebold"/>
              </w:rPr>
            </w:pPr>
            <w:r>
              <w:rPr>
                <w:rStyle w:val="Firstpagetablebold"/>
              </w:rPr>
              <w:t xml:space="preserve">Outcome of the </w:t>
            </w:r>
            <w:r w:rsidR="00472A45" w:rsidRPr="00472A45">
              <w:rPr>
                <w:rStyle w:val="Firstpagetablebold"/>
              </w:rPr>
              <w:t>Homelessness Prevention Trailblazer</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472A45" w:rsidP="00F615BA">
            <w:r>
              <w:t xml:space="preserve">To update the Board on </w:t>
            </w:r>
            <w:r w:rsidR="00F615BA">
              <w:t xml:space="preserve">the outcome </w:t>
            </w:r>
            <w:r>
              <w:t>of the Trailblazer</w:t>
            </w:r>
            <w:r w:rsidR="00C95BEB">
              <w:t xml:space="preserve"> Programme</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C95BEB" w:rsidP="005F7F7E">
            <w:r>
              <w:t>No</w:t>
            </w:r>
          </w:p>
        </w:tc>
      </w:tr>
      <w:tr w:rsidR="00D5547E" w:rsidTr="0080749A">
        <w:tc>
          <w:tcPr>
            <w:tcW w:w="2438" w:type="dxa"/>
            <w:gridSpan w:val="2"/>
            <w:tcBorders>
              <w:top w:val="nil"/>
              <w:left w:val="single" w:sz="8" w:space="0" w:color="000000"/>
              <w:bottom w:val="nil"/>
              <w:right w:val="nil"/>
            </w:tcBorders>
            <w:hideMark/>
          </w:tcPr>
          <w:p w:rsidR="00D5547E" w:rsidRDefault="00F615BA">
            <w:pPr>
              <w:rPr>
                <w:rStyle w:val="Firstpagetablebold"/>
              </w:rPr>
            </w:pPr>
            <w:r>
              <w:rPr>
                <w:rStyle w:val="Firstpagetablebold"/>
              </w:rPr>
              <w:t>Lead</w:t>
            </w:r>
            <w:r w:rsidR="00D5547E">
              <w:rPr>
                <w:rStyle w:val="Firstpagetablebold"/>
              </w:rPr>
              <w:t xml:space="preserve"> Member:</w:t>
            </w:r>
          </w:p>
        </w:tc>
        <w:tc>
          <w:tcPr>
            <w:tcW w:w="6407" w:type="dxa"/>
            <w:tcBorders>
              <w:top w:val="nil"/>
              <w:left w:val="nil"/>
              <w:bottom w:val="nil"/>
              <w:right w:val="single" w:sz="8" w:space="0" w:color="000000"/>
            </w:tcBorders>
            <w:hideMark/>
          </w:tcPr>
          <w:p w:rsidR="00D5547E" w:rsidRPr="001356F1" w:rsidRDefault="00D5547E" w:rsidP="00472A45">
            <w:r w:rsidRPr="001356F1">
              <w:t xml:space="preserve">Councillor </w:t>
            </w:r>
            <w:r w:rsidR="00472A45">
              <w:t>Linda Smith</w:t>
            </w:r>
            <w:r w:rsidRPr="001356F1">
              <w:t xml:space="preserve">, </w:t>
            </w:r>
            <w:r w:rsidR="00472A45">
              <w:t>Leisure and Housing</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472A45" w:rsidP="005F7F7E">
            <w:r>
              <w:t>Meeting housing need</w:t>
            </w:r>
            <w:r w:rsidR="0080749A" w:rsidRPr="001356F1">
              <w:t>.</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472A45" w:rsidP="005F7F7E">
            <w:r>
              <w:t>Housing and Homelessness Strategy</w:t>
            </w:r>
          </w:p>
        </w:tc>
      </w:tr>
      <w:tr w:rsidR="005F7F7E" w:rsidRPr="00975B07" w:rsidTr="00A46E98">
        <w:trPr>
          <w:trHeight w:val="413"/>
        </w:trPr>
        <w:tc>
          <w:tcPr>
            <w:tcW w:w="8845" w:type="dxa"/>
            <w:gridSpan w:val="3"/>
            <w:tcBorders>
              <w:bottom w:val="single" w:sz="8" w:space="0" w:color="000000"/>
            </w:tcBorders>
          </w:tcPr>
          <w:p w:rsidR="005F7F7E" w:rsidRPr="00975B07" w:rsidRDefault="005F7F7E" w:rsidP="00F615BA">
            <w:r>
              <w:rPr>
                <w:rStyle w:val="Firstpagetablebold"/>
              </w:rPr>
              <w:t xml:space="preserve">Recommendation(s):That the </w:t>
            </w:r>
            <w:r w:rsidR="00F615BA">
              <w:rPr>
                <w:rStyle w:val="Firstpagetablebold"/>
              </w:rPr>
              <w:t>Panel</w:t>
            </w:r>
            <w:r>
              <w:rPr>
                <w:rStyle w:val="Firstpagetablebold"/>
              </w:rPr>
              <w:t xml:space="preserve"> resolves to:</w:t>
            </w:r>
          </w:p>
        </w:tc>
      </w:tr>
      <w:tr w:rsidR="0030208D" w:rsidRPr="00975B07" w:rsidTr="00A46E98">
        <w:trPr>
          <w:trHeight w:val="283"/>
        </w:trPr>
        <w:tc>
          <w:tcPr>
            <w:tcW w:w="426" w:type="dxa"/>
            <w:tcBorders>
              <w:top w:val="single" w:sz="8" w:space="0" w:color="000000"/>
              <w:left w:val="single" w:sz="8" w:space="0" w:color="000000"/>
              <w:bottom w:val="nil"/>
              <w:right w:val="nil"/>
            </w:tcBorders>
          </w:tcPr>
          <w:p w:rsidR="0030208D" w:rsidRPr="00975B07" w:rsidRDefault="00046D2B" w:rsidP="004A6D2F">
            <w:r w:rsidRPr="00975B07">
              <w:t>1.</w:t>
            </w:r>
          </w:p>
        </w:tc>
        <w:tc>
          <w:tcPr>
            <w:tcW w:w="8419" w:type="dxa"/>
            <w:gridSpan w:val="2"/>
            <w:tcBorders>
              <w:top w:val="single" w:sz="8" w:space="0" w:color="000000"/>
              <w:left w:val="nil"/>
              <w:bottom w:val="nil"/>
              <w:right w:val="single" w:sz="8" w:space="0" w:color="000000"/>
            </w:tcBorders>
            <w:shd w:val="clear" w:color="auto" w:fill="auto"/>
          </w:tcPr>
          <w:p w:rsidR="0030208D" w:rsidRPr="001356F1" w:rsidRDefault="00472A45" w:rsidP="002069B3">
            <w:r>
              <w:rPr>
                <w:rStyle w:val="Firstpagetablebold"/>
              </w:rPr>
              <w:t>Note the outcome of the review and the priorities for the year ahead</w:t>
            </w:r>
          </w:p>
        </w:tc>
      </w:tr>
      <w:tr w:rsidR="0030208D" w:rsidRPr="00975B07" w:rsidTr="00A46E98">
        <w:trPr>
          <w:trHeight w:val="283"/>
        </w:trPr>
        <w:tc>
          <w:tcPr>
            <w:tcW w:w="426" w:type="dxa"/>
            <w:tcBorders>
              <w:top w:val="nil"/>
              <w:left w:val="single" w:sz="8" w:space="0" w:color="000000"/>
              <w:bottom w:val="nil"/>
              <w:right w:val="nil"/>
            </w:tcBorders>
          </w:tcPr>
          <w:p w:rsidR="0030208D" w:rsidRPr="00975B07" w:rsidRDefault="0030208D" w:rsidP="004A6D2F"/>
        </w:tc>
        <w:tc>
          <w:tcPr>
            <w:tcW w:w="8419" w:type="dxa"/>
            <w:gridSpan w:val="2"/>
            <w:tcBorders>
              <w:top w:val="nil"/>
              <w:left w:val="nil"/>
              <w:bottom w:val="nil"/>
              <w:right w:val="single" w:sz="8" w:space="0" w:color="000000"/>
            </w:tcBorders>
            <w:shd w:val="clear" w:color="auto" w:fill="auto"/>
          </w:tcPr>
          <w:p w:rsidR="0030208D" w:rsidRPr="001356F1" w:rsidRDefault="0030208D" w:rsidP="002069B3"/>
        </w:tc>
      </w:tr>
      <w:tr w:rsidR="00232F5B" w:rsidRPr="00975B07" w:rsidTr="00A46E98">
        <w:trPr>
          <w:trHeight w:val="283"/>
        </w:trPr>
        <w:tc>
          <w:tcPr>
            <w:tcW w:w="426" w:type="dxa"/>
            <w:tcBorders>
              <w:top w:val="nil"/>
              <w:left w:val="single" w:sz="8" w:space="0" w:color="000000"/>
              <w:bottom w:val="nil"/>
              <w:right w:val="nil"/>
            </w:tcBorders>
          </w:tcPr>
          <w:p w:rsidR="0030208D" w:rsidRPr="00975B07" w:rsidRDefault="0030208D" w:rsidP="004A6D2F"/>
        </w:tc>
        <w:tc>
          <w:tcPr>
            <w:tcW w:w="8419" w:type="dxa"/>
            <w:gridSpan w:val="2"/>
            <w:tcBorders>
              <w:top w:val="nil"/>
              <w:left w:val="nil"/>
              <w:bottom w:val="nil"/>
              <w:right w:val="single" w:sz="8" w:space="0" w:color="000000"/>
            </w:tcBorders>
            <w:shd w:val="clear" w:color="auto" w:fill="auto"/>
          </w:tcPr>
          <w:p w:rsidR="0030208D" w:rsidRPr="001356F1" w:rsidRDefault="0030208D" w:rsidP="002069B3"/>
        </w:tc>
      </w:tr>
      <w:tr w:rsidR="00232F5B" w:rsidRPr="00975B07" w:rsidTr="00A46E98">
        <w:trPr>
          <w:trHeight w:val="283"/>
        </w:trPr>
        <w:tc>
          <w:tcPr>
            <w:tcW w:w="426" w:type="dxa"/>
            <w:tcBorders>
              <w:top w:val="nil"/>
              <w:left w:val="single" w:sz="8" w:space="0" w:color="000000"/>
              <w:bottom w:val="nil"/>
              <w:right w:val="nil"/>
            </w:tcBorders>
          </w:tcPr>
          <w:p w:rsidR="0030208D" w:rsidRPr="00975B07" w:rsidRDefault="0030208D" w:rsidP="004A6D2F"/>
        </w:tc>
        <w:tc>
          <w:tcPr>
            <w:tcW w:w="8419" w:type="dxa"/>
            <w:gridSpan w:val="2"/>
            <w:tcBorders>
              <w:top w:val="nil"/>
              <w:left w:val="nil"/>
              <w:bottom w:val="nil"/>
              <w:right w:val="single" w:sz="8" w:space="0" w:color="000000"/>
            </w:tcBorders>
            <w:shd w:val="clear" w:color="auto" w:fill="auto"/>
          </w:tcPr>
          <w:p w:rsidR="0030208D" w:rsidRPr="001356F1" w:rsidRDefault="0030208D" w:rsidP="002069B3"/>
        </w:tc>
      </w:tr>
      <w:tr w:rsidR="00232F5B" w:rsidRPr="00975B07" w:rsidTr="00A46E98">
        <w:trPr>
          <w:trHeight w:val="283"/>
        </w:trPr>
        <w:tc>
          <w:tcPr>
            <w:tcW w:w="426" w:type="dxa"/>
            <w:tcBorders>
              <w:top w:val="nil"/>
              <w:left w:val="single" w:sz="8" w:space="0" w:color="000000"/>
              <w:bottom w:val="single" w:sz="8" w:space="0" w:color="000000"/>
              <w:right w:val="nil"/>
            </w:tcBorders>
          </w:tcPr>
          <w:p w:rsidR="0030208D" w:rsidRPr="00975B07" w:rsidRDefault="0030208D" w:rsidP="004A6D2F"/>
        </w:tc>
        <w:tc>
          <w:tcPr>
            <w:tcW w:w="8419" w:type="dxa"/>
            <w:gridSpan w:val="2"/>
            <w:tcBorders>
              <w:top w:val="nil"/>
              <w:left w:val="nil"/>
              <w:bottom w:val="single" w:sz="8" w:space="0" w:color="000000"/>
              <w:right w:val="single" w:sz="8" w:space="0" w:color="000000"/>
            </w:tcBorders>
            <w:shd w:val="clear" w:color="auto" w:fill="auto"/>
          </w:tcPr>
          <w:p w:rsidR="0030208D" w:rsidRPr="001356F1" w:rsidRDefault="0030208D" w:rsidP="00247C29"/>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A46E98">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ED5860" w:rsidRPr="001356F1" w:rsidRDefault="000B58B0" w:rsidP="004A6D2F">
            <w:r>
              <w:t>Trailblazer System Data</w:t>
            </w:r>
          </w:p>
        </w:tc>
      </w:tr>
      <w:tr w:rsidR="00ED5860" w:rsidRPr="00975B07" w:rsidTr="00A46E98">
        <w:tc>
          <w:tcPr>
            <w:tcW w:w="2438" w:type="dxa"/>
            <w:tcBorders>
              <w:top w:val="nil"/>
              <w:left w:val="single" w:sz="8" w:space="0" w:color="000000"/>
              <w:bottom w:val="nil"/>
              <w:right w:val="nil"/>
            </w:tcBorders>
            <w:shd w:val="clear" w:color="auto" w:fill="auto"/>
          </w:tcPr>
          <w:p w:rsidR="00ED5860" w:rsidRPr="00975B07" w:rsidRDefault="0030208D" w:rsidP="004A6D2F">
            <w:r w:rsidRPr="00975B07">
              <w:t>Appendix 2</w:t>
            </w:r>
          </w:p>
        </w:tc>
        <w:tc>
          <w:tcPr>
            <w:tcW w:w="6406" w:type="dxa"/>
            <w:tcBorders>
              <w:top w:val="nil"/>
              <w:left w:val="nil"/>
              <w:bottom w:val="nil"/>
              <w:right w:val="single" w:sz="8" w:space="0" w:color="000000"/>
            </w:tcBorders>
          </w:tcPr>
          <w:p w:rsidR="00ED5860" w:rsidRPr="001356F1" w:rsidRDefault="000B58B0" w:rsidP="004A6D2F">
            <w:r>
              <w:t>Case Studies</w:t>
            </w:r>
            <w:bookmarkStart w:id="0" w:name="_GoBack"/>
            <w:bookmarkEnd w:id="0"/>
          </w:p>
        </w:tc>
      </w:tr>
      <w:tr w:rsidR="0030208D" w:rsidRPr="00975B07" w:rsidTr="00A46E98">
        <w:tc>
          <w:tcPr>
            <w:tcW w:w="2438" w:type="dxa"/>
            <w:tcBorders>
              <w:top w:val="nil"/>
              <w:left w:val="single" w:sz="8" w:space="0" w:color="000000"/>
              <w:bottom w:val="nil"/>
              <w:right w:val="nil"/>
            </w:tcBorders>
            <w:shd w:val="clear" w:color="auto" w:fill="auto"/>
          </w:tcPr>
          <w:p w:rsidR="0030208D" w:rsidRPr="00975B07" w:rsidRDefault="0030208D" w:rsidP="004A6D2F"/>
        </w:tc>
        <w:tc>
          <w:tcPr>
            <w:tcW w:w="6406" w:type="dxa"/>
            <w:tcBorders>
              <w:top w:val="nil"/>
              <w:left w:val="nil"/>
              <w:bottom w:val="nil"/>
              <w:right w:val="single" w:sz="8" w:space="0" w:color="000000"/>
            </w:tcBorders>
          </w:tcPr>
          <w:p w:rsidR="0030208D" w:rsidRPr="001356F1" w:rsidRDefault="0030208D" w:rsidP="004A6D2F"/>
        </w:tc>
      </w:tr>
      <w:tr w:rsidR="0030208D" w:rsidRPr="00975B07" w:rsidTr="00A46E98">
        <w:tc>
          <w:tcPr>
            <w:tcW w:w="2438" w:type="dxa"/>
            <w:tcBorders>
              <w:top w:val="nil"/>
              <w:left w:val="single" w:sz="8" w:space="0" w:color="000000"/>
              <w:bottom w:val="single" w:sz="8" w:space="0" w:color="000000"/>
              <w:right w:val="nil"/>
            </w:tcBorders>
            <w:shd w:val="clear" w:color="auto" w:fill="auto"/>
          </w:tcPr>
          <w:p w:rsidR="0030208D" w:rsidRPr="00975B07" w:rsidRDefault="0030208D" w:rsidP="004A6D2F"/>
        </w:tc>
        <w:tc>
          <w:tcPr>
            <w:tcW w:w="6406" w:type="dxa"/>
            <w:tcBorders>
              <w:top w:val="nil"/>
              <w:left w:val="nil"/>
              <w:bottom w:val="single" w:sz="8" w:space="0" w:color="000000"/>
              <w:right w:val="single" w:sz="8" w:space="0" w:color="000000"/>
            </w:tcBorders>
          </w:tcPr>
          <w:p w:rsidR="0030208D" w:rsidRPr="001356F1" w:rsidRDefault="0030208D" w:rsidP="004A6D2F"/>
        </w:tc>
      </w:tr>
    </w:tbl>
    <w:p w:rsidR="00FE0C73" w:rsidRDefault="00FE0C73" w:rsidP="00FE0C73">
      <w:pPr>
        <w:spacing w:after="0"/>
        <w:ind w:firstLine="720"/>
        <w:rPr>
          <w:b/>
        </w:rPr>
      </w:pPr>
    </w:p>
    <w:p w:rsidR="00247981" w:rsidRDefault="00247981" w:rsidP="00FE0C73">
      <w:pPr>
        <w:spacing w:after="0"/>
        <w:ind w:firstLine="720"/>
        <w:rPr>
          <w:b/>
        </w:rPr>
      </w:pPr>
    </w:p>
    <w:p w:rsidR="00FE0C73" w:rsidRPr="00FE0C73" w:rsidRDefault="00FE0C73" w:rsidP="00FE0C73">
      <w:pPr>
        <w:spacing w:after="0"/>
        <w:ind w:firstLine="720"/>
        <w:rPr>
          <w:b/>
        </w:rPr>
      </w:pPr>
      <w:r w:rsidRPr="00FE0C73">
        <w:rPr>
          <w:b/>
        </w:rPr>
        <w:t>INTRODUCTION</w:t>
      </w:r>
    </w:p>
    <w:p w:rsidR="00FE0C73" w:rsidRDefault="00FE0C73" w:rsidP="00FE0C73">
      <w:pPr>
        <w:numPr>
          <w:ilvl w:val="0"/>
          <w:numId w:val="34"/>
        </w:numPr>
        <w:spacing w:after="0"/>
      </w:pPr>
      <w:r w:rsidRPr="00FE0C73">
        <w:t>The Oxfordshire Homel</w:t>
      </w:r>
      <w:r w:rsidR="00F615BA">
        <w:t>essness Prevention Trailblazer wa</w:t>
      </w:r>
      <w:r w:rsidRPr="00FE0C73">
        <w:t xml:space="preserve">s a multi-agency programme aiming to tackle systemic issues in the public sector which can increase the risk of homelessness to individuals throughout the county. The two year programme </w:t>
      </w:r>
      <w:r w:rsidR="00F615BA">
        <w:t>ran</w:t>
      </w:r>
      <w:r w:rsidRPr="00FE0C73">
        <w:t xml:space="preserve"> from September 2017 to August 2019. It received £790,000 from </w:t>
      </w:r>
      <w:r w:rsidR="00585467">
        <w:t xml:space="preserve">the </w:t>
      </w:r>
      <w:r w:rsidRPr="00FE0C73">
        <w:t>Ministry of Housing, Communities and Local Government</w:t>
      </w:r>
      <w:r w:rsidR="00431701">
        <w:t>, and a further £100,000 f</w:t>
      </w:r>
      <w:r w:rsidRPr="00FE0C73">
        <w:t>r</w:t>
      </w:r>
      <w:r w:rsidR="00431701">
        <w:t>o</w:t>
      </w:r>
      <w:r w:rsidRPr="00FE0C73">
        <w:t xml:space="preserve">m the Oxfordshire local housing authorities, providing a total of </w:t>
      </w:r>
      <w:r w:rsidRPr="00FE0C73">
        <w:lastRenderedPageBreak/>
        <w:t>£890,000. Commencement of the programme was reported to CEB on 20 December 2017</w:t>
      </w:r>
      <w:r w:rsidR="00F615BA">
        <w:t xml:space="preserve"> and a progress update was provided on 22 January 2019</w:t>
      </w:r>
      <w:r w:rsidRPr="00FE0C73">
        <w:t xml:space="preserve">. The </w:t>
      </w:r>
      <w:r w:rsidR="003E4F78">
        <w:t xml:space="preserve">county-wide </w:t>
      </w:r>
      <w:r w:rsidRPr="00FE0C73">
        <w:t xml:space="preserve">Trailblazer programme </w:t>
      </w:r>
      <w:r w:rsidR="00F615BA">
        <w:t>ha</w:t>
      </w:r>
      <w:r w:rsidRPr="00FE0C73">
        <w:t>s</w:t>
      </w:r>
      <w:r w:rsidR="00F615BA">
        <w:t xml:space="preserve"> been</w:t>
      </w:r>
      <w:r w:rsidRPr="00FE0C73">
        <w:t xml:space="preserve"> managed by a small team based at Oxford City Council.</w:t>
      </w:r>
    </w:p>
    <w:p w:rsidR="00FE0C73" w:rsidRPr="00FE0C73" w:rsidRDefault="00FE0C73" w:rsidP="00FE0C73">
      <w:pPr>
        <w:spacing w:after="0"/>
        <w:ind w:left="720"/>
      </w:pPr>
    </w:p>
    <w:p w:rsidR="00FE0C73" w:rsidRDefault="00FE0C73" w:rsidP="00FE0C73">
      <w:pPr>
        <w:numPr>
          <w:ilvl w:val="0"/>
          <w:numId w:val="34"/>
        </w:numPr>
        <w:contextualSpacing/>
      </w:pPr>
      <w:r w:rsidRPr="00FE0C73">
        <w:t xml:space="preserve">The broad objectives of the programme </w:t>
      </w:r>
      <w:r w:rsidR="00F615BA">
        <w:t>we</w:t>
      </w:r>
      <w:r w:rsidRPr="00FE0C73">
        <w:t>re to explore options for intervening as early as possible to prevent people at risk of homelessness</w:t>
      </w:r>
      <w:r w:rsidR="00431701">
        <w:t xml:space="preserve"> </w:t>
      </w:r>
      <w:r w:rsidRPr="00FE0C73">
        <w:t xml:space="preserve">reaching </w:t>
      </w:r>
      <w:r w:rsidR="00431701">
        <w:t xml:space="preserve">a </w:t>
      </w:r>
      <w:r w:rsidRPr="00FE0C73">
        <w:t>crisis point. The first six months was spent researching homelessness in Oxfordshire</w:t>
      </w:r>
      <w:r w:rsidR="00AA589B">
        <w:t xml:space="preserve"> and planning the programme</w:t>
      </w:r>
      <w:r w:rsidRPr="00FE0C73">
        <w:t xml:space="preserve">. This included analysis of homelessness data, </w:t>
      </w:r>
      <w:r w:rsidR="00431701">
        <w:t xml:space="preserve">a </w:t>
      </w:r>
      <w:r w:rsidRPr="00FE0C73">
        <w:t>qualitative stakeholder consultation</w:t>
      </w:r>
      <w:r w:rsidR="00431701">
        <w:t xml:space="preserve"> exercise and piloting</w:t>
      </w:r>
      <w:r w:rsidRPr="00FE0C73">
        <w:t xml:space="preserve"> system interventions. </w:t>
      </w:r>
      <w:r w:rsidR="00F615BA">
        <w:t>A full evaluation of the programme will be published in November 2019.</w:t>
      </w:r>
    </w:p>
    <w:p w:rsidR="00FE0C73" w:rsidRPr="00FE0C73" w:rsidRDefault="00FE0C73" w:rsidP="00FE0C73">
      <w:pPr>
        <w:ind w:left="426" w:hanging="426"/>
      </w:pPr>
    </w:p>
    <w:p w:rsidR="00FE0C73" w:rsidRPr="00FE0C73" w:rsidRDefault="000D47BA" w:rsidP="00FE0C73">
      <w:pPr>
        <w:spacing w:after="0"/>
        <w:ind w:left="720"/>
        <w:rPr>
          <w:b/>
        </w:rPr>
      </w:pPr>
      <w:r>
        <w:rPr>
          <w:b/>
        </w:rPr>
        <w:t>PROGRAMME DESIGN</w:t>
      </w:r>
    </w:p>
    <w:p w:rsidR="00FE0C73" w:rsidRPr="00FE0C73" w:rsidRDefault="00FE0C73" w:rsidP="00FE0C73">
      <w:pPr>
        <w:numPr>
          <w:ilvl w:val="0"/>
          <w:numId w:val="34"/>
        </w:numPr>
        <w:spacing w:after="0"/>
      </w:pPr>
      <w:r w:rsidRPr="00FE0C73">
        <w:t xml:space="preserve">Key findings from the data analysis informed the design of </w:t>
      </w:r>
      <w:r w:rsidR="00431701">
        <w:t xml:space="preserve">the </w:t>
      </w:r>
      <w:r w:rsidRPr="00FE0C73">
        <w:t>Trailblazer services</w:t>
      </w:r>
      <w:r w:rsidR="00431701">
        <w:t xml:space="preserve"> to be provided</w:t>
      </w:r>
      <w:r w:rsidRPr="00FE0C73">
        <w:t>. This included the finding that the presence of a housing issue could lead to a significant delay in discharge from hospital once a patient is medically fit. Additionally, within</w:t>
      </w:r>
      <w:r w:rsidR="00F615BA">
        <w:t xml:space="preserve"> the Oxfordshire prison system it was found that </w:t>
      </w:r>
      <w:r w:rsidRPr="00FE0C73">
        <w:t xml:space="preserve">88% of people entering prison with no fixed address </w:t>
      </w:r>
      <w:r w:rsidR="00431701">
        <w:t xml:space="preserve">ends up </w:t>
      </w:r>
      <w:r w:rsidRPr="00FE0C73">
        <w:t>leav</w:t>
      </w:r>
      <w:r w:rsidR="00431701">
        <w:t>ing</w:t>
      </w:r>
      <w:r w:rsidRPr="00FE0C73">
        <w:t xml:space="preserve"> prison with the same status. </w:t>
      </w:r>
    </w:p>
    <w:p w:rsidR="00FE0C73" w:rsidRPr="00FE0C73" w:rsidRDefault="00FE0C73" w:rsidP="00FE0C73">
      <w:pPr>
        <w:spacing w:after="0"/>
      </w:pPr>
    </w:p>
    <w:p w:rsidR="00FE0C73" w:rsidRPr="00FE0C73" w:rsidRDefault="00FE0C73" w:rsidP="00FE0C73">
      <w:pPr>
        <w:numPr>
          <w:ilvl w:val="0"/>
          <w:numId w:val="34"/>
        </w:numPr>
        <w:contextualSpacing/>
      </w:pPr>
      <w:r w:rsidRPr="00FE0C73">
        <w:t>The stakeholder consultation included workshops involving front-line housing staff, people with experience of homelessness and professionals from health, criminal justice and children’s social care. People with lived experience expressed a sense of hopelessness about their situation and difficulties in accessing services, but reflected positive experiences of being supported by other people with lived experience. Professional</w:t>
      </w:r>
      <w:r w:rsidR="00352473">
        <w:t>s</w:t>
      </w:r>
      <w:r w:rsidRPr="00FE0C73">
        <w:t xml:space="preserve"> within the systems felt there was a significant need to improve connections and relationships across statutory and non-statutory services. Awareness of the housing options available to individuals and the local housing authorities’ role in this process was low. As a result</w:t>
      </w:r>
      <w:r w:rsidR="00352473">
        <w:t>,</w:t>
      </w:r>
      <w:r w:rsidRPr="00FE0C73">
        <w:t xml:space="preserve"> early indicators of homelessness were not being acted upon. </w:t>
      </w:r>
    </w:p>
    <w:p w:rsidR="00FE0C73" w:rsidRPr="00FE0C73" w:rsidRDefault="00FE0C73" w:rsidP="00FE0C73">
      <w:pPr>
        <w:ind w:left="720"/>
        <w:contextualSpacing/>
      </w:pPr>
    </w:p>
    <w:p w:rsidR="00FE0C73" w:rsidRPr="00FE0C73" w:rsidRDefault="00FE0C73" w:rsidP="00FE0C73">
      <w:pPr>
        <w:numPr>
          <w:ilvl w:val="0"/>
          <w:numId w:val="34"/>
        </w:numPr>
        <w:contextualSpacing/>
      </w:pPr>
      <w:r w:rsidRPr="00FE0C73">
        <w:t xml:space="preserve">Following the research three strands of work were developed. These were the embedding of </w:t>
      </w:r>
      <w:r w:rsidR="000D47BA">
        <w:t xml:space="preserve">housing </w:t>
      </w:r>
      <w:r w:rsidRPr="00FE0C73">
        <w:t xml:space="preserve">workers within the health, criminal justice and children’s social </w:t>
      </w:r>
      <w:r w:rsidR="00142B61">
        <w:t>care</w:t>
      </w:r>
      <w:r w:rsidR="00142B61" w:rsidRPr="00FE0C73">
        <w:t xml:space="preserve"> </w:t>
      </w:r>
      <w:r w:rsidRPr="00FE0C73">
        <w:t>settings</w:t>
      </w:r>
      <w:r w:rsidR="001B709E">
        <w:t xml:space="preserve"> (provided by Connections)</w:t>
      </w:r>
      <w:r w:rsidRPr="00FE0C73">
        <w:t>, a community navigator service to connect people at risk of homelessness to the services they needed</w:t>
      </w:r>
      <w:r w:rsidR="001B709E">
        <w:t xml:space="preserve"> (provided by Aspire)</w:t>
      </w:r>
      <w:r w:rsidRPr="00FE0C73">
        <w:t>, and a homelessness champions network to raise the profile of housing in stakeholder organisations.</w:t>
      </w:r>
    </w:p>
    <w:p w:rsidR="00FE0C73" w:rsidRDefault="00FE0C73" w:rsidP="00FE0C73">
      <w:pPr>
        <w:ind w:left="720"/>
        <w:contextualSpacing/>
      </w:pPr>
    </w:p>
    <w:p w:rsidR="000D47BA" w:rsidRPr="000D47BA" w:rsidRDefault="000D47BA" w:rsidP="00FE0C73">
      <w:pPr>
        <w:ind w:left="720"/>
        <w:contextualSpacing/>
        <w:rPr>
          <w:b/>
        </w:rPr>
      </w:pPr>
      <w:r w:rsidRPr="000D47BA">
        <w:rPr>
          <w:b/>
        </w:rPr>
        <w:t>DELIVERY OF TRAILBLAZER</w:t>
      </w:r>
    </w:p>
    <w:p w:rsidR="00142B61" w:rsidRDefault="000D47BA" w:rsidP="00142B61">
      <w:pPr>
        <w:numPr>
          <w:ilvl w:val="0"/>
          <w:numId w:val="34"/>
        </w:numPr>
        <w:spacing w:after="0"/>
      </w:pPr>
      <w:r>
        <w:t>The embedded housing workers role was to support the upskilling of professionals in the systems they were embedded in. This was to enable them to identify people at risk of homelessness, and take steps to mitigate this risk</w:t>
      </w:r>
      <w:r w:rsidR="00142B61">
        <w:t>.</w:t>
      </w:r>
    </w:p>
    <w:p w:rsidR="000D47BA" w:rsidRDefault="000D47BA" w:rsidP="000D47BA">
      <w:pPr>
        <w:spacing w:after="0"/>
        <w:ind w:left="720"/>
      </w:pPr>
    </w:p>
    <w:p w:rsidR="00FE0C73" w:rsidRDefault="000D47BA" w:rsidP="005B5CB3">
      <w:pPr>
        <w:numPr>
          <w:ilvl w:val="0"/>
          <w:numId w:val="34"/>
        </w:numPr>
        <w:spacing w:after="0"/>
      </w:pPr>
      <w:r>
        <w:t xml:space="preserve">During </w:t>
      </w:r>
      <w:r w:rsidR="005B5CB3">
        <w:t>the programme delivery phase,</w:t>
      </w:r>
      <w:r w:rsidR="004165D8">
        <w:t xml:space="preserve"> </w:t>
      </w:r>
      <w:r w:rsidR="005B5CB3">
        <w:t>f</w:t>
      </w:r>
      <w:r>
        <w:t>r</w:t>
      </w:r>
      <w:r w:rsidR="005B5CB3">
        <w:t>o</w:t>
      </w:r>
      <w:r>
        <w:t>m April 2018 to August 2019</w:t>
      </w:r>
      <w:r w:rsidR="00A1580A">
        <w:t xml:space="preserve"> </w:t>
      </w:r>
      <w:r w:rsidR="005B5CB3">
        <w:t xml:space="preserve">the two interventions supported 1,413 households and prevented homelessness in 713 </w:t>
      </w:r>
      <w:r w:rsidR="005B5CB3">
        <w:lastRenderedPageBreak/>
        <w:t xml:space="preserve">cases (See Table 1 below). </w:t>
      </w:r>
      <w:r w:rsidR="005B5CB3" w:rsidRPr="005B5CB3">
        <w:rPr>
          <w:noProof/>
        </w:rPr>
        <w:drawing>
          <wp:inline distT="0" distB="0" distL="0" distR="0" wp14:anchorId="51EE4C2C" wp14:editId="3DED12B2">
            <wp:extent cx="5904230" cy="1632064"/>
            <wp:effectExtent l="0" t="0" r="127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4230" cy="1632064"/>
                    </a:xfrm>
                    <a:prstGeom prst="rect">
                      <a:avLst/>
                    </a:prstGeom>
                    <a:noFill/>
                    <a:ln>
                      <a:noFill/>
                    </a:ln>
                  </pic:spPr>
                </pic:pic>
              </a:graphicData>
            </a:graphic>
          </wp:inline>
        </w:drawing>
      </w:r>
    </w:p>
    <w:p w:rsidR="005B5CB3" w:rsidRPr="00FE0C73" w:rsidRDefault="005B5CB3" w:rsidP="005B5CB3">
      <w:pPr>
        <w:spacing w:after="0"/>
        <w:ind w:left="360"/>
      </w:pPr>
    </w:p>
    <w:p w:rsidR="00FE0C73" w:rsidRPr="00FE0C73" w:rsidRDefault="005B5CB3" w:rsidP="00FE0C73">
      <w:pPr>
        <w:numPr>
          <w:ilvl w:val="0"/>
          <w:numId w:val="34"/>
        </w:numPr>
        <w:spacing w:after="0"/>
      </w:pPr>
      <w:r>
        <w:t>The high number of unknown outcomes has two causes. The first is that the embedded housing workers were working to support the professionals in the systems they were based in, often on a no names basis, and it was difficult to track the outcomes for these cases. The second is that clients of the community navigator service would sometime disengage with the service.</w:t>
      </w:r>
    </w:p>
    <w:p w:rsidR="00FE0C73" w:rsidRPr="00FE0C73" w:rsidRDefault="00FE0C73" w:rsidP="00FE0C73">
      <w:pPr>
        <w:ind w:left="720"/>
        <w:contextualSpacing/>
      </w:pPr>
    </w:p>
    <w:p w:rsidR="00D674F3" w:rsidRDefault="00BA3732" w:rsidP="00D674F3">
      <w:pPr>
        <w:numPr>
          <w:ilvl w:val="0"/>
          <w:numId w:val="34"/>
        </w:numPr>
        <w:contextualSpacing/>
      </w:pPr>
      <w:r>
        <w:t xml:space="preserve">Outcomes were also tracked using data from the systems Trailblazer was working in. In the prison system, there has been a 31% reduction in people with a local connection to Oxfordshire being released with no fixed address. In the hospitals there has been a 50% reduction in the delays to people leaving hospital as a result of a Housing issue. This equates to 944 “bed days”. This reduction has enabled Oxford Health to stop placing people who are sectioned out of area. Appendix </w:t>
      </w:r>
      <w:proofErr w:type="gramStart"/>
      <w:r>
        <w:t>One</w:t>
      </w:r>
      <w:proofErr w:type="gramEnd"/>
      <w:r>
        <w:t xml:space="preserve"> provides a more </w:t>
      </w:r>
      <w:r w:rsidR="00D674F3">
        <w:t>in-depth</w:t>
      </w:r>
      <w:r>
        <w:t xml:space="preserve"> analysis of this data.</w:t>
      </w:r>
    </w:p>
    <w:p w:rsidR="00D674F3" w:rsidRDefault="00D674F3" w:rsidP="00D674F3">
      <w:pPr>
        <w:ind w:left="720"/>
        <w:contextualSpacing/>
      </w:pPr>
    </w:p>
    <w:p w:rsidR="00D674F3" w:rsidRDefault="00D674F3" w:rsidP="00B93ECD">
      <w:pPr>
        <w:numPr>
          <w:ilvl w:val="0"/>
          <w:numId w:val="34"/>
        </w:numPr>
        <w:contextualSpacing/>
      </w:pPr>
      <w:r w:rsidRPr="00D674F3">
        <w:t>Within Children’s Social Care there is no formal recording of housing data</w:t>
      </w:r>
      <w:r>
        <w:t>. However a number of case studies have shown the benefit of identifying housing issues at an early stage and acting on them. In Appendix Two, the third case study shows how such intervention can avoid the significant costs incurred when children have to be taken into care; over £50,000 in this example.</w:t>
      </w:r>
    </w:p>
    <w:p w:rsidR="00D674F3" w:rsidRDefault="00D674F3" w:rsidP="00D674F3">
      <w:pPr>
        <w:ind w:left="720"/>
        <w:contextualSpacing/>
      </w:pPr>
    </w:p>
    <w:p w:rsidR="00B93ECD" w:rsidRPr="00B93ECD" w:rsidRDefault="00B93ECD" w:rsidP="00B93ECD">
      <w:pPr>
        <w:numPr>
          <w:ilvl w:val="0"/>
          <w:numId w:val="34"/>
        </w:numPr>
        <w:contextualSpacing/>
      </w:pPr>
      <w:r w:rsidRPr="00B93ECD">
        <w:t>The third element of the Trailblazer is the homelessness champions</w:t>
      </w:r>
      <w:r w:rsidR="000E090C">
        <w:t>’</w:t>
      </w:r>
      <w:r w:rsidRPr="00B93ECD">
        <w:t xml:space="preserve"> network. The aim o</w:t>
      </w:r>
      <w:r>
        <w:t>f this strand of the programme wa</w:t>
      </w:r>
      <w:r w:rsidRPr="00B93ECD">
        <w:t>s to create a network of housing expertise across other statutory services</w:t>
      </w:r>
      <w:r w:rsidR="000E090C">
        <w:t xml:space="preserve"> and local support agencies</w:t>
      </w:r>
      <w:r w:rsidRPr="00B93ECD">
        <w:t xml:space="preserve">. The network </w:t>
      </w:r>
      <w:r>
        <w:t>i</w:t>
      </w:r>
      <w:r w:rsidRPr="00B93ECD">
        <w:t>s facilitated by the Trailblazer programme team who have delivered training and network events on a bi-monthly basis. The network has been used to help design a single countywide process for the new “duty to refer” obligation brought in by the Homelessness Reduction Act (2017). This duty obliges a range of statutory agencies to refer people who appear at risk of homelessness to a local housing authority. All agencies with this obligation are represented in the champions</w:t>
      </w:r>
      <w:r w:rsidR="000E090C">
        <w:t>’</w:t>
      </w:r>
      <w:r w:rsidRPr="00B93ECD">
        <w:t xml:space="preserve"> network.</w:t>
      </w:r>
      <w:r>
        <w:t xml:space="preserve"> A survey of network participants saw 14 out of 15 responses making positive comments about the benefit of the network. These responses cited increased knowledge, better connections and improved partnership working as the main benefits of the network. </w:t>
      </w:r>
    </w:p>
    <w:p w:rsidR="00BA3732" w:rsidRPr="00B93ECD" w:rsidRDefault="00D674F3" w:rsidP="00BA3732">
      <w:pPr>
        <w:pStyle w:val="ListParagraph"/>
        <w:numPr>
          <w:ilvl w:val="0"/>
          <w:numId w:val="0"/>
        </w:numPr>
        <w:ind w:left="426"/>
        <w:rPr>
          <w:b/>
        </w:rPr>
      </w:pPr>
      <w:r>
        <w:rPr>
          <w:b/>
        </w:rPr>
        <w:tab/>
      </w:r>
      <w:r w:rsidR="0087509D">
        <w:rPr>
          <w:b/>
        </w:rPr>
        <w:t>PROGRAMME LEARNING</w:t>
      </w:r>
    </w:p>
    <w:p w:rsidR="00B93ECD" w:rsidRDefault="00B93ECD" w:rsidP="00B93ECD">
      <w:pPr>
        <w:pStyle w:val="ListParagraph"/>
        <w:numPr>
          <w:ilvl w:val="0"/>
          <w:numId w:val="34"/>
        </w:numPr>
        <w:contextualSpacing/>
      </w:pPr>
      <w:r w:rsidRPr="00B93ECD">
        <w:t>The Trailblazer programme ha</w:t>
      </w:r>
      <w:r>
        <w:t>d</w:t>
      </w:r>
      <w:r w:rsidRPr="00B93ECD">
        <w:t xml:space="preserve"> learning at its heart. The programme’s learning </w:t>
      </w:r>
      <w:r>
        <w:t>wa</w:t>
      </w:r>
      <w:r w:rsidRPr="00B93ECD">
        <w:t>s externally facilitated by an organisation called Ratio. Practitioners within the services are brought together on a monthly basis to talk about their work, both what has worked, and what has</w:t>
      </w:r>
      <w:r w:rsidR="00D674F3">
        <w:t xml:space="preserve"> </w:t>
      </w:r>
      <w:r w:rsidRPr="00B93ECD">
        <w:t>n</w:t>
      </w:r>
      <w:r w:rsidR="00D674F3">
        <w:t>o</w:t>
      </w:r>
      <w:r w:rsidRPr="00B93ECD">
        <w:t xml:space="preserve">t. The focus is on the practice of the </w:t>
      </w:r>
      <w:r w:rsidRPr="00B93ECD">
        <w:lastRenderedPageBreak/>
        <w:t>embedded housing workers and community navigators, and the system</w:t>
      </w:r>
      <w:r>
        <w:t xml:space="preserve"> barriers that they encountered. This process has highlighted the benefits of taking the time to form positive relationships with p</w:t>
      </w:r>
      <w:r w:rsidR="009C3C1C">
        <w:t>eople at risk of homelessness to help give them agency over their situation</w:t>
      </w:r>
      <w:r w:rsidR="00426B52">
        <w:t>. It has also shown how intervening early provides the best chance of preventing</w:t>
      </w:r>
      <w:r w:rsidR="009C3C1C">
        <w:t xml:space="preserve"> homelessness, and the need for statutory services to both work together and understand each other to deliver better outcomes. </w:t>
      </w:r>
      <w:proofErr w:type="gramStart"/>
      <w:r w:rsidR="009C3C1C">
        <w:t>Ratio are</w:t>
      </w:r>
      <w:proofErr w:type="gramEnd"/>
      <w:r w:rsidR="009C3C1C">
        <w:t xml:space="preserve"> publishing two reports on the learning from the programme in November 2019.</w:t>
      </w:r>
    </w:p>
    <w:p w:rsidR="009C3C1C" w:rsidRDefault="009C3C1C" w:rsidP="009C3C1C">
      <w:pPr>
        <w:pStyle w:val="ListParagraph"/>
        <w:numPr>
          <w:ilvl w:val="0"/>
          <w:numId w:val="0"/>
        </w:numPr>
        <w:ind w:left="720"/>
        <w:contextualSpacing/>
      </w:pPr>
    </w:p>
    <w:p w:rsidR="009C3C1C" w:rsidRDefault="009C3C1C" w:rsidP="00B93ECD">
      <w:pPr>
        <w:pStyle w:val="ListParagraph"/>
        <w:numPr>
          <w:ilvl w:val="0"/>
          <w:numId w:val="34"/>
        </w:numPr>
        <w:contextualSpacing/>
      </w:pPr>
      <w:r>
        <w:t xml:space="preserve">The programme also identified many system barriers that increase the risk of homelessness for some individuals, particularly those who are more vulnerable. 55% of the community </w:t>
      </w:r>
      <w:r w:rsidR="00827A8C">
        <w:t>navigator’s</w:t>
      </w:r>
      <w:r>
        <w:t xml:space="preserve"> referrals were prompted by </w:t>
      </w:r>
      <w:r w:rsidR="00827A8C">
        <w:t>debt or financial problems. Two thirds of these cases were in rent arrears. The experience of the navigators was that there was often little support offered in the collection of rent and Council Tax arrears. Sometimes the community navigators found themselves in the role of interpreter, to translate the demands of the local authority or housing association to their client. Some of the navigators had experienced homelessness or issues relating to the causes of homelessness, and this often mad</w:t>
      </w:r>
      <w:r w:rsidR="00E76918">
        <w:t>e it easier for them to build good relationships with the peo</w:t>
      </w:r>
      <w:r w:rsidR="001C5015">
        <w:t>ple they were supporting. Appendix Two provides two case studies which demonstrate these issues. There is a challenge for councils and social landlords to think about how they can provide services which would negate the need for a community navigator in these circumstances.</w:t>
      </w:r>
    </w:p>
    <w:p w:rsidR="00D674F3" w:rsidRDefault="00D674F3" w:rsidP="00D674F3">
      <w:pPr>
        <w:pStyle w:val="ListParagraph"/>
        <w:numPr>
          <w:ilvl w:val="0"/>
          <w:numId w:val="0"/>
        </w:numPr>
        <w:ind w:left="720"/>
        <w:rPr>
          <w:b/>
        </w:rPr>
      </w:pPr>
    </w:p>
    <w:p w:rsidR="00D674F3" w:rsidRDefault="0087509D" w:rsidP="00D674F3">
      <w:pPr>
        <w:pStyle w:val="ListParagraph"/>
        <w:numPr>
          <w:ilvl w:val="0"/>
          <w:numId w:val="0"/>
        </w:numPr>
        <w:ind w:left="720"/>
        <w:rPr>
          <w:b/>
        </w:rPr>
      </w:pPr>
      <w:r w:rsidRPr="0087509D">
        <w:rPr>
          <w:b/>
        </w:rPr>
        <w:t>LEGACY</w:t>
      </w:r>
    </w:p>
    <w:p w:rsidR="001C5015" w:rsidRDefault="001C5015" w:rsidP="00D674F3">
      <w:pPr>
        <w:pStyle w:val="ListParagraph"/>
        <w:numPr>
          <w:ilvl w:val="0"/>
          <w:numId w:val="34"/>
        </w:numPr>
      </w:pPr>
      <w:r>
        <w:t>There are a number of areas of work fr</w:t>
      </w:r>
      <w:r w:rsidR="00B55631">
        <w:t>o</w:t>
      </w:r>
      <w:r>
        <w:t>m Trailblazer that are continuing. The network will be maintained for another 12 months funded by the underspend on the programme budget, Oxford University Hospitals NHS Trust have funded the continuation  of the embedded workers in Health until March 2020, and  Aspire have raised funding to continue to provide the community navigator service.</w:t>
      </w:r>
    </w:p>
    <w:p w:rsidR="001C5015" w:rsidRDefault="001C5015" w:rsidP="001C5015">
      <w:pPr>
        <w:pStyle w:val="ListParagraph"/>
        <w:numPr>
          <w:ilvl w:val="0"/>
          <w:numId w:val="0"/>
        </w:numPr>
        <w:ind w:left="720"/>
        <w:contextualSpacing/>
      </w:pPr>
    </w:p>
    <w:p w:rsidR="001C5015" w:rsidRDefault="001C5015" w:rsidP="001C5015">
      <w:pPr>
        <w:pStyle w:val="ListParagraph"/>
        <w:numPr>
          <w:ilvl w:val="0"/>
          <w:numId w:val="34"/>
        </w:numPr>
        <w:contextualSpacing/>
      </w:pPr>
      <w:r>
        <w:t>There are also some practical changes which have been made which will support homelessness prevention. Discharge protocols in the health and criminal justice systems have been jointly designed, Children’s Social Care have established a housing champions network and now recognize  the importance of identifying housing issues at an early stage. There is a Housing eLearning module targeted at non-Housing professionals, available free of charge on the Oxfordshire Safeguarding Children’s Board website. Some teams have already incorporated it into their induction process.</w:t>
      </w:r>
    </w:p>
    <w:p w:rsidR="001C5015" w:rsidRDefault="001C5015" w:rsidP="001C5015">
      <w:pPr>
        <w:pStyle w:val="ListParagraph"/>
        <w:numPr>
          <w:ilvl w:val="0"/>
          <w:numId w:val="0"/>
        </w:numPr>
        <w:ind w:left="720"/>
        <w:contextualSpacing/>
      </w:pPr>
    </w:p>
    <w:p w:rsidR="00827A8C" w:rsidRDefault="001C5015" w:rsidP="001C5015">
      <w:pPr>
        <w:pStyle w:val="ListParagraph"/>
        <w:numPr>
          <w:ilvl w:val="0"/>
          <w:numId w:val="34"/>
        </w:numPr>
        <w:contextualSpacing/>
      </w:pPr>
      <w:r>
        <w:t xml:space="preserve">Trailblazer exposed some of the systemic challenges of homelessness, and experimented with some ways to tackle these, some of which were successful. The public organisations who participated in Trailblazer need to continue to work together to meet these challenges, to ensure their services are accessible to all, to value the people who need their services, and to work in genuine partnership with each other to deliver better outcomes. The Trailblazer programme has shown that it is possible to do this across Oxfordshire. It broke new ground </w:t>
      </w:r>
      <w:r w:rsidR="00870345">
        <w:t xml:space="preserve">with </w:t>
      </w:r>
      <w:r>
        <w:t>the connections it enhanced between sector-wide partners in order to reduce the risk of local homelessness.</w:t>
      </w:r>
    </w:p>
    <w:p w:rsidR="0087509D" w:rsidRDefault="0087509D" w:rsidP="0087509D">
      <w:pPr>
        <w:pStyle w:val="ListParagraph"/>
        <w:numPr>
          <w:ilvl w:val="0"/>
          <w:numId w:val="0"/>
        </w:numPr>
        <w:ind w:left="426"/>
      </w:pPr>
    </w:p>
    <w:p w:rsidR="0087509D" w:rsidRPr="00FE0C73" w:rsidRDefault="0087509D" w:rsidP="001C5015">
      <w:pPr>
        <w:pStyle w:val="ListParagraph"/>
        <w:numPr>
          <w:ilvl w:val="0"/>
          <w:numId w:val="34"/>
        </w:numPr>
        <w:contextualSpacing/>
      </w:pPr>
      <w:r>
        <w:t xml:space="preserve">Within Oxford City Council a review of the Housing Needs service is being conducted to ensure that the learning from Trailblazer is implemented. This will prioritise a culture of learning, early prevention, a focus on the needs of people accessing services and working </w:t>
      </w:r>
      <w:r w:rsidR="00D13676">
        <w:t xml:space="preserve">more </w:t>
      </w:r>
      <w:r>
        <w:t>effectively with partners and stakeholders.</w:t>
      </w:r>
    </w:p>
    <w:p w:rsidR="00352473" w:rsidRDefault="0087509D" w:rsidP="00D674F3">
      <w:pPr>
        <w:pStyle w:val="Heading1"/>
        <w:ind w:firstLine="720"/>
      </w:pPr>
      <w:r w:rsidRPr="001356F1">
        <w:t>FINANCIAL IMPLICATIONS</w:t>
      </w:r>
    </w:p>
    <w:p w:rsidR="00E87F7A" w:rsidRDefault="008B500E" w:rsidP="00352473">
      <w:pPr>
        <w:pStyle w:val="Heading1"/>
        <w:numPr>
          <w:ilvl w:val="0"/>
          <w:numId w:val="34"/>
        </w:numPr>
        <w:rPr>
          <w:b w:val="0"/>
        </w:rPr>
      </w:pPr>
      <w:r w:rsidRPr="008B500E">
        <w:rPr>
          <w:b w:val="0"/>
        </w:rPr>
        <w:t xml:space="preserve"> </w:t>
      </w:r>
      <w:r w:rsidR="001C5015">
        <w:rPr>
          <w:b w:val="0"/>
        </w:rPr>
        <w:t xml:space="preserve">At the time </w:t>
      </w:r>
      <w:r w:rsidR="0087509D">
        <w:rPr>
          <w:b w:val="0"/>
        </w:rPr>
        <w:t>of writing</w:t>
      </w:r>
      <w:r w:rsidR="001C5015">
        <w:rPr>
          <w:b w:val="0"/>
        </w:rPr>
        <w:t xml:space="preserve">, the Trailblazer programme was projected to have </w:t>
      </w:r>
      <w:proofErr w:type="gramStart"/>
      <w:r w:rsidR="001C5015">
        <w:rPr>
          <w:b w:val="0"/>
        </w:rPr>
        <w:t>an</w:t>
      </w:r>
      <w:r w:rsidR="0087509D">
        <w:rPr>
          <w:b w:val="0"/>
        </w:rPr>
        <w:t xml:space="preserve"> </w:t>
      </w:r>
      <w:r w:rsidR="001C5015">
        <w:rPr>
          <w:b w:val="0"/>
        </w:rPr>
        <w:t>underspend</w:t>
      </w:r>
      <w:proofErr w:type="gramEnd"/>
      <w:r w:rsidR="001C5015">
        <w:rPr>
          <w:b w:val="0"/>
        </w:rPr>
        <w:t xml:space="preserve"> of £1</w:t>
      </w:r>
      <w:r w:rsidR="00656FBD">
        <w:rPr>
          <w:b w:val="0"/>
        </w:rPr>
        <w:t>7,830.98</w:t>
      </w:r>
      <w:r w:rsidR="001C5015">
        <w:rPr>
          <w:b w:val="0"/>
        </w:rPr>
        <w:t xml:space="preserve">. At the last meeting of the programme’s steering group, it was agreed that £10,000 of this underspend would be provided to Aspire to continue the Community Navigator service, </w:t>
      </w:r>
      <w:r w:rsidR="00656FBD">
        <w:rPr>
          <w:b w:val="0"/>
        </w:rPr>
        <w:t xml:space="preserve">£2,700 would be made available to Connections to use as a prevention fund for their continuing work in health, </w:t>
      </w:r>
      <w:r w:rsidR="001C5015">
        <w:rPr>
          <w:b w:val="0"/>
        </w:rPr>
        <w:t>and the balance would be retained by Oxford City Council to continue the Homelessness Prevention Network.</w:t>
      </w:r>
    </w:p>
    <w:p w:rsidR="0040736F" w:rsidRPr="001356F1" w:rsidRDefault="0087509D" w:rsidP="00D674F3">
      <w:pPr>
        <w:pStyle w:val="Heading1"/>
        <w:ind w:firstLine="720"/>
      </w:pPr>
      <w:r w:rsidRPr="001356F1">
        <w:t>LEGAL ISSUES</w:t>
      </w:r>
    </w:p>
    <w:p w:rsidR="00E87F7A" w:rsidRPr="001356F1" w:rsidRDefault="00247981" w:rsidP="00247981">
      <w:pPr>
        <w:pStyle w:val="ListParagraph"/>
        <w:numPr>
          <w:ilvl w:val="0"/>
          <w:numId w:val="34"/>
        </w:numPr>
      </w:pPr>
      <w:r>
        <w:t xml:space="preserve">The Trailblazer programme operates with regard to the Homelessness Reduction Act (2017). </w:t>
      </w:r>
      <w:r w:rsidR="0087509D">
        <w:t>Trailblazer</w:t>
      </w:r>
      <w:r>
        <w:t xml:space="preserve"> aim</w:t>
      </w:r>
      <w:r w:rsidR="001C5015">
        <w:t>ed</w:t>
      </w:r>
      <w:r>
        <w:t xml:space="preserve"> to engage with individuals prior to the timescale which </w:t>
      </w:r>
      <w:r w:rsidR="00585467">
        <w:t>triggers the Act’s duties. The A</w:t>
      </w:r>
      <w:r>
        <w:t xml:space="preserve">ct requires local housing authorities to work to prevent homelessness if an individual appears to be at risk of homelessness within 56 days. </w:t>
      </w:r>
      <w:r w:rsidRPr="00247981">
        <w:t>Whe</w:t>
      </w:r>
      <w:r w:rsidR="001C5015">
        <w:t>re</w:t>
      </w:r>
      <w:r w:rsidRPr="00247981">
        <w:t xml:space="preserve"> the programme </w:t>
      </w:r>
      <w:r w:rsidR="001C5015">
        <w:t>has engaged</w:t>
      </w:r>
      <w:r w:rsidRPr="00247981">
        <w:t xml:space="preserve"> with individuals who are owed a duty by any local housing authority under th</w:t>
      </w:r>
      <w:r w:rsidR="001C5015">
        <w:t>is act, the relevant authority ha</w:t>
      </w:r>
      <w:r w:rsidRPr="00247981">
        <w:t>s</w:t>
      </w:r>
      <w:r w:rsidR="001C5015">
        <w:t xml:space="preserve"> been</w:t>
      </w:r>
      <w:r w:rsidRPr="00247981">
        <w:t xml:space="preserve"> made aware of the individual’s circumstances.</w:t>
      </w:r>
    </w:p>
    <w:p w:rsidR="002329CF" w:rsidRPr="001356F1" w:rsidRDefault="002329CF" w:rsidP="00AA589B">
      <w:pPr>
        <w:pStyle w:val="ListParagraph"/>
        <w:numPr>
          <w:ilvl w:val="0"/>
          <w:numId w:val="0"/>
        </w:numPr>
        <w:ind w:left="426"/>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220B34" w:rsidP="00A46E98">
            <w:r>
              <w:t>Paul Wilding</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220B34" w:rsidP="00220B34">
            <w:r>
              <w:t>Systems Change Manager (Homelessness Prevention)</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220B34" w:rsidP="00A46E98">
            <w:r>
              <w:t>Housing Services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220B34" w:rsidP="00A46E98">
            <w:r>
              <w:t>01865 252461</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220B34" w:rsidP="00220B34">
            <w:pPr>
              <w:rPr>
                <w:rStyle w:val="Hyperlink"/>
                <w:color w:val="000000"/>
              </w:rPr>
            </w:pPr>
            <w:r>
              <w:rPr>
                <w:rStyle w:val="Hyperlink"/>
                <w:color w:val="000000"/>
              </w:rPr>
              <w:t>pwilding@oxford.gov.uk</w:t>
            </w:r>
          </w:p>
        </w:tc>
      </w:tr>
    </w:tbl>
    <w:p w:rsidR="00433B96" w:rsidRPr="001356F1" w:rsidRDefault="00433B96" w:rsidP="004A6D2F"/>
    <w:p w:rsidR="00E76918" w:rsidRDefault="00E76918">
      <w:pPr>
        <w:spacing w:after="0"/>
      </w:pPr>
      <w:r>
        <w:br w:type="page"/>
      </w:r>
    </w:p>
    <w:p w:rsidR="00CE4C87" w:rsidRDefault="00E76918" w:rsidP="0093067A">
      <w:pPr>
        <w:rPr>
          <w:b/>
        </w:rPr>
      </w:pPr>
      <w:r w:rsidRPr="00E76918">
        <w:rPr>
          <w:b/>
        </w:rPr>
        <w:lastRenderedPageBreak/>
        <w:t>Appendix One</w:t>
      </w:r>
      <w:r w:rsidR="004165D8">
        <w:rPr>
          <w:b/>
        </w:rPr>
        <w:t xml:space="preserve"> – Trailblazer System Data</w:t>
      </w:r>
    </w:p>
    <w:p w:rsidR="004165D8" w:rsidRPr="004165D8" w:rsidRDefault="004165D8" w:rsidP="004165D8">
      <w:pPr>
        <w:spacing w:after="0"/>
        <w:rPr>
          <w:rFonts w:eastAsiaTheme="minorHAnsi" w:cs="Arial"/>
          <w:color w:val="auto"/>
          <w:sz w:val="22"/>
          <w:szCs w:val="22"/>
          <w:lang w:eastAsia="en-US"/>
        </w:rPr>
      </w:pPr>
      <w:r w:rsidRPr="004165D8">
        <w:rPr>
          <w:rFonts w:eastAsiaTheme="minorHAnsi" w:cs="Arial"/>
          <w:color w:val="auto"/>
          <w:sz w:val="22"/>
          <w:szCs w:val="22"/>
          <w:lang w:eastAsia="en-US"/>
        </w:rPr>
        <w:t>This paper covers the analysis of data produced by the systems in which Trailblazer has been operating. It is a revised version of the paper that was produced for the July 2019 steering group and is intended to demonstrate the level of impact the programme has had since the introduction of the Embedded Housing Worker model.</w:t>
      </w:r>
    </w:p>
    <w:p w:rsidR="004165D8" w:rsidRPr="004165D8" w:rsidRDefault="004165D8" w:rsidP="004165D8">
      <w:pPr>
        <w:spacing w:after="0"/>
        <w:rPr>
          <w:rFonts w:eastAsiaTheme="minorHAnsi" w:cs="Arial"/>
          <w:color w:val="auto"/>
          <w:sz w:val="22"/>
          <w:szCs w:val="22"/>
          <w:lang w:eastAsia="en-US"/>
        </w:rPr>
      </w:pPr>
    </w:p>
    <w:p w:rsidR="004165D8" w:rsidRPr="004165D8" w:rsidRDefault="004165D8" w:rsidP="004165D8">
      <w:pPr>
        <w:spacing w:after="0"/>
        <w:rPr>
          <w:rFonts w:eastAsiaTheme="minorHAnsi" w:cs="Arial"/>
          <w:color w:val="auto"/>
          <w:sz w:val="22"/>
          <w:szCs w:val="22"/>
          <w:u w:val="single"/>
          <w:lang w:eastAsia="en-US"/>
        </w:rPr>
      </w:pPr>
      <w:r w:rsidRPr="004165D8">
        <w:rPr>
          <w:rFonts w:eastAsiaTheme="minorHAnsi" w:cs="Arial"/>
          <w:color w:val="auto"/>
          <w:sz w:val="22"/>
          <w:szCs w:val="22"/>
          <w:u w:val="single"/>
          <w:lang w:eastAsia="en-US"/>
        </w:rPr>
        <w:t>Bullingdon Prison</w:t>
      </w:r>
    </w:p>
    <w:p w:rsidR="004165D8" w:rsidRPr="004165D8" w:rsidRDefault="004165D8" w:rsidP="004165D8">
      <w:pPr>
        <w:spacing w:after="0"/>
        <w:rPr>
          <w:rFonts w:eastAsiaTheme="minorHAnsi" w:cs="Arial"/>
          <w:color w:val="auto"/>
          <w:sz w:val="22"/>
          <w:szCs w:val="22"/>
          <w:u w:val="single"/>
          <w:lang w:eastAsia="en-US"/>
        </w:rPr>
      </w:pPr>
    </w:p>
    <w:p w:rsidR="004165D8" w:rsidRPr="004165D8" w:rsidRDefault="004165D8" w:rsidP="004165D8">
      <w:pPr>
        <w:spacing w:after="0"/>
        <w:rPr>
          <w:rFonts w:eastAsiaTheme="minorHAnsi" w:cs="Arial"/>
          <w:color w:val="auto"/>
          <w:sz w:val="22"/>
          <w:szCs w:val="22"/>
          <w:lang w:eastAsia="en-US"/>
        </w:rPr>
      </w:pPr>
      <w:r w:rsidRPr="004165D8">
        <w:rPr>
          <w:rFonts w:eastAsiaTheme="minorHAnsi" w:cs="Arial"/>
          <w:color w:val="auto"/>
          <w:sz w:val="22"/>
          <w:szCs w:val="22"/>
          <w:lang w:eastAsia="en-US"/>
        </w:rPr>
        <w:t xml:space="preserve">The following table is based on information received from the Resettlement team at Bullingdon Prison. It highlights the numbers of people with an Oxfordshire connection that have been released either </w:t>
      </w:r>
      <w:proofErr w:type="gramStart"/>
      <w:r w:rsidRPr="004165D8">
        <w:rPr>
          <w:rFonts w:eastAsiaTheme="minorHAnsi" w:cs="Arial"/>
          <w:color w:val="auto"/>
          <w:sz w:val="22"/>
          <w:szCs w:val="22"/>
          <w:lang w:eastAsia="en-US"/>
        </w:rPr>
        <w:t>‘NFA’(</w:t>
      </w:r>
      <w:proofErr w:type="gramEnd"/>
      <w:r w:rsidRPr="004165D8">
        <w:rPr>
          <w:rFonts w:eastAsiaTheme="minorHAnsi" w:cs="Arial"/>
          <w:color w:val="auto"/>
          <w:sz w:val="22"/>
          <w:szCs w:val="22"/>
          <w:lang w:eastAsia="en-US"/>
        </w:rPr>
        <w:t xml:space="preserve">No fixed address) or ‘Unknown’ over the past couple of years. </w:t>
      </w:r>
    </w:p>
    <w:p w:rsidR="004165D8" w:rsidRPr="004165D8" w:rsidRDefault="004165D8" w:rsidP="004165D8">
      <w:pPr>
        <w:spacing w:after="0"/>
        <w:rPr>
          <w:rFonts w:eastAsiaTheme="minorHAnsi" w:cs="Arial"/>
          <w:color w:val="auto"/>
          <w:sz w:val="22"/>
          <w:szCs w:val="22"/>
          <w:lang w:eastAsia="en-US"/>
        </w:rPr>
      </w:pPr>
    </w:p>
    <w:p w:rsidR="004165D8" w:rsidRPr="004165D8" w:rsidRDefault="004165D8" w:rsidP="004165D8">
      <w:pPr>
        <w:spacing w:after="0"/>
        <w:rPr>
          <w:rFonts w:eastAsiaTheme="minorHAnsi" w:cs="Arial"/>
          <w:color w:val="auto"/>
          <w:u w:val="single"/>
          <w:lang w:eastAsia="en-US"/>
        </w:rPr>
      </w:pPr>
      <w:r w:rsidRPr="004165D8">
        <w:rPr>
          <w:rFonts w:eastAsiaTheme="minorHAnsi" w:cs="Arial"/>
          <w:color w:val="auto"/>
          <w:sz w:val="22"/>
          <w:szCs w:val="22"/>
          <w:lang w:eastAsia="en-US"/>
        </w:rPr>
        <w:t>The 17/18 year relates to the 10 months prior to any permanent Trailblazer involvement. From April 2018 onwards there has been an Embedded Housing Worker presence across both arms of the criminal justice system (National Probation Service and Community Rehabilitation Company).</w:t>
      </w:r>
    </w:p>
    <w:p w:rsidR="004165D8" w:rsidRPr="004165D8" w:rsidRDefault="004165D8" w:rsidP="004165D8">
      <w:pPr>
        <w:spacing w:after="0"/>
        <w:rPr>
          <w:rFonts w:eastAsiaTheme="minorHAnsi" w:cs="Arial"/>
          <w:color w:val="auto"/>
          <w:u w:val="single"/>
          <w:lang w:eastAsia="en-US"/>
        </w:rPr>
      </w:pPr>
    </w:p>
    <w:tbl>
      <w:tblPr>
        <w:tblW w:w="9667" w:type="dxa"/>
        <w:tblInd w:w="93" w:type="dxa"/>
        <w:tblLook w:val="04A0" w:firstRow="1" w:lastRow="0" w:firstColumn="1" w:lastColumn="0" w:noHBand="0" w:noVBand="1"/>
      </w:tblPr>
      <w:tblGrid>
        <w:gridCol w:w="1097"/>
        <w:gridCol w:w="920"/>
        <w:gridCol w:w="992"/>
        <w:gridCol w:w="941"/>
        <w:gridCol w:w="902"/>
        <w:gridCol w:w="992"/>
        <w:gridCol w:w="959"/>
        <w:gridCol w:w="884"/>
        <w:gridCol w:w="992"/>
        <w:gridCol w:w="988"/>
      </w:tblGrid>
      <w:tr w:rsidR="004165D8" w:rsidRPr="004165D8" w:rsidTr="004165D8">
        <w:trPr>
          <w:trHeight w:val="930"/>
        </w:trPr>
        <w:tc>
          <w:tcPr>
            <w:tcW w:w="1097" w:type="dxa"/>
            <w:tcBorders>
              <w:top w:val="nil"/>
              <w:left w:val="nil"/>
              <w:bottom w:val="nil"/>
              <w:right w:val="nil"/>
            </w:tcBorders>
            <w:shd w:val="clear" w:color="auto" w:fill="auto"/>
            <w:noWrap/>
            <w:vAlign w:val="bottom"/>
            <w:hideMark/>
          </w:tcPr>
          <w:p w:rsidR="004165D8" w:rsidRPr="004165D8" w:rsidRDefault="004165D8" w:rsidP="004165D8">
            <w:pPr>
              <w:spacing w:after="0"/>
              <w:rPr>
                <w:rFonts w:cs="Arial"/>
                <w:sz w:val="22"/>
                <w:szCs w:val="22"/>
              </w:rPr>
            </w:pPr>
          </w:p>
        </w:tc>
        <w:tc>
          <w:tcPr>
            <w:tcW w:w="28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165D8" w:rsidRPr="004165D8" w:rsidRDefault="004165D8" w:rsidP="004165D8">
            <w:pPr>
              <w:spacing w:after="0"/>
              <w:jc w:val="center"/>
              <w:rPr>
                <w:rFonts w:cs="Arial"/>
                <w:sz w:val="22"/>
                <w:szCs w:val="22"/>
              </w:rPr>
            </w:pPr>
            <w:r w:rsidRPr="004165D8">
              <w:rPr>
                <w:rFonts w:cs="Arial"/>
                <w:sz w:val="22"/>
                <w:szCs w:val="22"/>
              </w:rPr>
              <w:t>Total number discharged from Bullingdon Prison with an Oxon connection</w:t>
            </w:r>
          </w:p>
        </w:tc>
        <w:tc>
          <w:tcPr>
            <w:tcW w:w="2853" w:type="dxa"/>
            <w:gridSpan w:val="3"/>
            <w:tcBorders>
              <w:top w:val="single" w:sz="4" w:space="0" w:color="auto"/>
              <w:left w:val="nil"/>
              <w:bottom w:val="single" w:sz="4" w:space="0" w:color="auto"/>
              <w:right w:val="single" w:sz="4" w:space="0" w:color="auto"/>
            </w:tcBorders>
            <w:shd w:val="clear" w:color="auto" w:fill="auto"/>
            <w:vAlign w:val="center"/>
            <w:hideMark/>
          </w:tcPr>
          <w:p w:rsidR="004165D8" w:rsidRPr="004165D8" w:rsidRDefault="004165D8" w:rsidP="004165D8">
            <w:pPr>
              <w:spacing w:after="0"/>
              <w:jc w:val="center"/>
              <w:rPr>
                <w:rFonts w:cs="Arial"/>
                <w:sz w:val="22"/>
                <w:szCs w:val="22"/>
              </w:rPr>
            </w:pPr>
            <w:r w:rsidRPr="004165D8">
              <w:rPr>
                <w:rFonts w:cs="Arial"/>
                <w:sz w:val="22"/>
                <w:szCs w:val="22"/>
              </w:rPr>
              <w:t>Total number discharged NFA or Unknown</w:t>
            </w:r>
          </w:p>
        </w:tc>
        <w:tc>
          <w:tcPr>
            <w:tcW w:w="2864" w:type="dxa"/>
            <w:gridSpan w:val="3"/>
            <w:tcBorders>
              <w:top w:val="single" w:sz="4" w:space="0" w:color="auto"/>
              <w:left w:val="nil"/>
              <w:bottom w:val="single" w:sz="4" w:space="0" w:color="auto"/>
              <w:right w:val="single" w:sz="4" w:space="0" w:color="auto"/>
            </w:tcBorders>
            <w:shd w:val="clear" w:color="auto" w:fill="auto"/>
            <w:vAlign w:val="center"/>
            <w:hideMark/>
          </w:tcPr>
          <w:p w:rsidR="004165D8" w:rsidRPr="004165D8" w:rsidRDefault="004165D8" w:rsidP="004165D8">
            <w:pPr>
              <w:spacing w:after="0"/>
              <w:jc w:val="center"/>
              <w:rPr>
                <w:rFonts w:cs="Arial"/>
                <w:sz w:val="22"/>
                <w:szCs w:val="22"/>
              </w:rPr>
            </w:pPr>
            <w:r w:rsidRPr="004165D8">
              <w:rPr>
                <w:rFonts w:cs="Arial"/>
                <w:sz w:val="22"/>
                <w:szCs w:val="22"/>
              </w:rPr>
              <w:t>NFA Percentage</w:t>
            </w:r>
          </w:p>
        </w:tc>
      </w:tr>
      <w:tr w:rsidR="004165D8" w:rsidRPr="004165D8" w:rsidTr="004165D8">
        <w:trPr>
          <w:trHeight w:val="570"/>
        </w:trPr>
        <w:tc>
          <w:tcPr>
            <w:tcW w:w="1097" w:type="dxa"/>
            <w:tcBorders>
              <w:top w:val="nil"/>
              <w:left w:val="nil"/>
              <w:bottom w:val="nil"/>
              <w:right w:val="nil"/>
            </w:tcBorders>
            <w:shd w:val="clear" w:color="auto" w:fill="auto"/>
            <w:noWrap/>
            <w:vAlign w:val="bottom"/>
            <w:hideMark/>
          </w:tcPr>
          <w:p w:rsidR="004165D8" w:rsidRPr="004165D8" w:rsidRDefault="004165D8" w:rsidP="004165D8">
            <w:pPr>
              <w:spacing w:after="0"/>
              <w:rPr>
                <w:rFonts w:cs="Arial"/>
                <w:sz w:val="22"/>
                <w:szCs w:val="22"/>
              </w:rPr>
            </w:pPr>
          </w:p>
        </w:tc>
        <w:tc>
          <w:tcPr>
            <w:tcW w:w="920" w:type="dxa"/>
            <w:tcBorders>
              <w:top w:val="nil"/>
              <w:left w:val="single" w:sz="4" w:space="0" w:color="auto"/>
              <w:bottom w:val="nil"/>
              <w:right w:val="single" w:sz="4" w:space="0" w:color="auto"/>
            </w:tcBorders>
            <w:shd w:val="clear" w:color="auto" w:fill="auto"/>
            <w:noWrap/>
            <w:vAlign w:val="center"/>
            <w:hideMark/>
          </w:tcPr>
          <w:p w:rsidR="004165D8" w:rsidRPr="004165D8" w:rsidRDefault="004165D8" w:rsidP="004165D8">
            <w:pPr>
              <w:spacing w:after="0"/>
              <w:jc w:val="center"/>
              <w:rPr>
                <w:rFonts w:cs="Arial"/>
                <w:sz w:val="22"/>
                <w:szCs w:val="22"/>
              </w:rPr>
            </w:pPr>
            <w:r w:rsidRPr="004165D8">
              <w:rPr>
                <w:rFonts w:cs="Arial"/>
                <w:sz w:val="22"/>
                <w:szCs w:val="22"/>
              </w:rPr>
              <w:t>CRC</w:t>
            </w:r>
          </w:p>
        </w:tc>
        <w:tc>
          <w:tcPr>
            <w:tcW w:w="992" w:type="dxa"/>
            <w:tcBorders>
              <w:top w:val="nil"/>
              <w:left w:val="nil"/>
              <w:bottom w:val="nil"/>
              <w:right w:val="single" w:sz="4" w:space="0" w:color="auto"/>
            </w:tcBorders>
            <w:shd w:val="clear" w:color="auto" w:fill="auto"/>
            <w:vAlign w:val="center"/>
            <w:hideMark/>
          </w:tcPr>
          <w:p w:rsidR="004165D8" w:rsidRPr="004165D8" w:rsidRDefault="004165D8" w:rsidP="004165D8">
            <w:pPr>
              <w:spacing w:after="0"/>
              <w:jc w:val="center"/>
              <w:rPr>
                <w:rFonts w:cs="Arial"/>
                <w:sz w:val="22"/>
                <w:szCs w:val="22"/>
              </w:rPr>
            </w:pPr>
            <w:r w:rsidRPr="004165D8">
              <w:rPr>
                <w:rFonts w:cs="Arial"/>
                <w:sz w:val="22"/>
                <w:szCs w:val="22"/>
              </w:rPr>
              <w:t>NPS</w:t>
            </w:r>
          </w:p>
        </w:tc>
        <w:tc>
          <w:tcPr>
            <w:tcW w:w="941" w:type="dxa"/>
            <w:tcBorders>
              <w:top w:val="nil"/>
              <w:left w:val="nil"/>
              <w:bottom w:val="nil"/>
              <w:right w:val="single" w:sz="4" w:space="0" w:color="auto"/>
            </w:tcBorders>
            <w:shd w:val="clear" w:color="auto" w:fill="auto"/>
            <w:vAlign w:val="center"/>
            <w:hideMark/>
          </w:tcPr>
          <w:p w:rsidR="004165D8" w:rsidRPr="004165D8" w:rsidRDefault="004165D8" w:rsidP="004165D8">
            <w:pPr>
              <w:spacing w:after="0"/>
              <w:jc w:val="center"/>
              <w:rPr>
                <w:rFonts w:cs="Arial"/>
                <w:sz w:val="22"/>
                <w:szCs w:val="22"/>
              </w:rPr>
            </w:pPr>
            <w:r w:rsidRPr="004165D8">
              <w:rPr>
                <w:rFonts w:cs="Arial"/>
                <w:sz w:val="22"/>
                <w:szCs w:val="22"/>
              </w:rPr>
              <w:t>TOTAL</w:t>
            </w:r>
          </w:p>
        </w:tc>
        <w:tc>
          <w:tcPr>
            <w:tcW w:w="902" w:type="dxa"/>
            <w:tcBorders>
              <w:top w:val="nil"/>
              <w:left w:val="nil"/>
              <w:bottom w:val="nil"/>
              <w:right w:val="single" w:sz="4" w:space="0" w:color="auto"/>
            </w:tcBorders>
            <w:shd w:val="clear" w:color="auto" w:fill="auto"/>
            <w:noWrap/>
            <w:vAlign w:val="center"/>
            <w:hideMark/>
          </w:tcPr>
          <w:p w:rsidR="004165D8" w:rsidRPr="004165D8" w:rsidRDefault="004165D8" w:rsidP="004165D8">
            <w:pPr>
              <w:spacing w:after="0"/>
              <w:jc w:val="center"/>
              <w:rPr>
                <w:rFonts w:cs="Arial"/>
                <w:sz w:val="22"/>
                <w:szCs w:val="22"/>
              </w:rPr>
            </w:pPr>
            <w:r w:rsidRPr="004165D8">
              <w:rPr>
                <w:rFonts w:cs="Arial"/>
                <w:sz w:val="22"/>
                <w:szCs w:val="22"/>
              </w:rPr>
              <w:t>CRC</w:t>
            </w:r>
          </w:p>
        </w:tc>
        <w:tc>
          <w:tcPr>
            <w:tcW w:w="992" w:type="dxa"/>
            <w:tcBorders>
              <w:top w:val="nil"/>
              <w:left w:val="nil"/>
              <w:bottom w:val="nil"/>
              <w:right w:val="single" w:sz="4" w:space="0" w:color="auto"/>
            </w:tcBorders>
            <w:shd w:val="clear" w:color="auto" w:fill="auto"/>
            <w:vAlign w:val="center"/>
            <w:hideMark/>
          </w:tcPr>
          <w:p w:rsidR="004165D8" w:rsidRPr="004165D8" w:rsidRDefault="004165D8" w:rsidP="004165D8">
            <w:pPr>
              <w:spacing w:after="0"/>
              <w:jc w:val="center"/>
              <w:rPr>
                <w:rFonts w:cs="Arial"/>
                <w:sz w:val="22"/>
                <w:szCs w:val="22"/>
              </w:rPr>
            </w:pPr>
            <w:r w:rsidRPr="004165D8">
              <w:rPr>
                <w:rFonts w:cs="Arial"/>
                <w:sz w:val="22"/>
                <w:szCs w:val="22"/>
              </w:rPr>
              <w:t>NPS</w:t>
            </w:r>
          </w:p>
        </w:tc>
        <w:tc>
          <w:tcPr>
            <w:tcW w:w="959" w:type="dxa"/>
            <w:tcBorders>
              <w:top w:val="nil"/>
              <w:left w:val="nil"/>
              <w:bottom w:val="nil"/>
              <w:right w:val="single" w:sz="4" w:space="0" w:color="auto"/>
            </w:tcBorders>
            <w:shd w:val="clear" w:color="auto" w:fill="auto"/>
            <w:vAlign w:val="center"/>
            <w:hideMark/>
          </w:tcPr>
          <w:p w:rsidR="004165D8" w:rsidRPr="004165D8" w:rsidRDefault="004165D8" w:rsidP="004165D8">
            <w:pPr>
              <w:spacing w:after="0"/>
              <w:jc w:val="center"/>
              <w:rPr>
                <w:rFonts w:cs="Arial"/>
                <w:sz w:val="22"/>
                <w:szCs w:val="22"/>
              </w:rPr>
            </w:pPr>
            <w:r w:rsidRPr="004165D8">
              <w:rPr>
                <w:rFonts w:cs="Arial"/>
                <w:sz w:val="22"/>
                <w:szCs w:val="22"/>
              </w:rPr>
              <w:t>TOTAL</w:t>
            </w:r>
          </w:p>
        </w:tc>
        <w:tc>
          <w:tcPr>
            <w:tcW w:w="884" w:type="dxa"/>
            <w:tcBorders>
              <w:top w:val="nil"/>
              <w:left w:val="nil"/>
              <w:bottom w:val="nil"/>
              <w:right w:val="single" w:sz="4" w:space="0" w:color="auto"/>
            </w:tcBorders>
            <w:shd w:val="clear" w:color="auto" w:fill="auto"/>
            <w:noWrap/>
            <w:vAlign w:val="center"/>
            <w:hideMark/>
          </w:tcPr>
          <w:p w:rsidR="004165D8" w:rsidRPr="004165D8" w:rsidRDefault="004165D8" w:rsidP="004165D8">
            <w:pPr>
              <w:spacing w:after="0"/>
              <w:jc w:val="center"/>
              <w:rPr>
                <w:rFonts w:cs="Arial"/>
                <w:sz w:val="22"/>
                <w:szCs w:val="22"/>
              </w:rPr>
            </w:pPr>
            <w:r w:rsidRPr="004165D8">
              <w:rPr>
                <w:rFonts w:cs="Arial"/>
                <w:sz w:val="22"/>
                <w:szCs w:val="22"/>
              </w:rPr>
              <w:t>CRC</w:t>
            </w:r>
          </w:p>
        </w:tc>
        <w:tc>
          <w:tcPr>
            <w:tcW w:w="992" w:type="dxa"/>
            <w:tcBorders>
              <w:top w:val="nil"/>
              <w:left w:val="nil"/>
              <w:bottom w:val="nil"/>
              <w:right w:val="single" w:sz="4" w:space="0" w:color="auto"/>
            </w:tcBorders>
            <w:shd w:val="clear" w:color="auto" w:fill="auto"/>
            <w:vAlign w:val="center"/>
            <w:hideMark/>
          </w:tcPr>
          <w:p w:rsidR="004165D8" w:rsidRPr="004165D8" w:rsidRDefault="004165D8" w:rsidP="004165D8">
            <w:pPr>
              <w:spacing w:after="0"/>
              <w:jc w:val="center"/>
              <w:rPr>
                <w:rFonts w:cs="Arial"/>
                <w:sz w:val="22"/>
                <w:szCs w:val="22"/>
              </w:rPr>
            </w:pPr>
            <w:r w:rsidRPr="004165D8">
              <w:rPr>
                <w:rFonts w:cs="Arial"/>
                <w:sz w:val="22"/>
                <w:szCs w:val="22"/>
              </w:rPr>
              <w:t>NPS</w:t>
            </w:r>
          </w:p>
        </w:tc>
        <w:tc>
          <w:tcPr>
            <w:tcW w:w="988" w:type="dxa"/>
            <w:tcBorders>
              <w:top w:val="nil"/>
              <w:left w:val="nil"/>
              <w:bottom w:val="nil"/>
              <w:right w:val="single" w:sz="4" w:space="0" w:color="auto"/>
            </w:tcBorders>
            <w:shd w:val="clear" w:color="auto" w:fill="auto"/>
            <w:vAlign w:val="center"/>
            <w:hideMark/>
          </w:tcPr>
          <w:p w:rsidR="004165D8" w:rsidRPr="004165D8" w:rsidRDefault="004165D8" w:rsidP="004165D8">
            <w:pPr>
              <w:spacing w:after="0"/>
              <w:jc w:val="center"/>
              <w:rPr>
                <w:rFonts w:cs="Arial"/>
                <w:sz w:val="22"/>
                <w:szCs w:val="22"/>
              </w:rPr>
            </w:pPr>
            <w:r w:rsidRPr="004165D8">
              <w:rPr>
                <w:rFonts w:cs="Arial"/>
                <w:sz w:val="22"/>
                <w:szCs w:val="22"/>
              </w:rPr>
              <w:t>TOTAL</w:t>
            </w:r>
          </w:p>
        </w:tc>
      </w:tr>
      <w:tr w:rsidR="004165D8" w:rsidRPr="004165D8" w:rsidTr="004165D8">
        <w:trPr>
          <w:trHeight w:val="435"/>
        </w:trPr>
        <w:tc>
          <w:tcPr>
            <w:tcW w:w="1097"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4165D8" w:rsidRPr="004165D8" w:rsidRDefault="004165D8" w:rsidP="004165D8">
            <w:pPr>
              <w:spacing w:after="0"/>
              <w:jc w:val="center"/>
              <w:rPr>
                <w:rFonts w:cs="Arial"/>
                <w:sz w:val="22"/>
                <w:szCs w:val="22"/>
              </w:rPr>
            </w:pPr>
            <w:r w:rsidRPr="004165D8">
              <w:rPr>
                <w:rFonts w:cs="Arial"/>
                <w:sz w:val="22"/>
                <w:szCs w:val="22"/>
              </w:rPr>
              <w:t>2017/18*</w:t>
            </w:r>
          </w:p>
        </w:tc>
        <w:tc>
          <w:tcPr>
            <w:tcW w:w="920" w:type="dxa"/>
            <w:tcBorders>
              <w:top w:val="single" w:sz="4" w:space="0" w:color="auto"/>
              <w:left w:val="nil"/>
              <w:bottom w:val="single" w:sz="4" w:space="0" w:color="auto"/>
              <w:right w:val="single" w:sz="4" w:space="0" w:color="auto"/>
            </w:tcBorders>
            <w:shd w:val="clear" w:color="000000" w:fill="D8E4BC"/>
            <w:noWrap/>
            <w:vAlign w:val="center"/>
            <w:hideMark/>
          </w:tcPr>
          <w:p w:rsidR="004165D8" w:rsidRPr="004165D8" w:rsidRDefault="004165D8" w:rsidP="004165D8">
            <w:pPr>
              <w:spacing w:after="0"/>
              <w:jc w:val="center"/>
              <w:rPr>
                <w:rFonts w:cs="Arial"/>
                <w:sz w:val="22"/>
                <w:szCs w:val="22"/>
              </w:rPr>
            </w:pPr>
            <w:r w:rsidRPr="004165D8">
              <w:rPr>
                <w:rFonts w:cs="Arial"/>
                <w:sz w:val="22"/>
                <w:szCs w:val="22"/>
              </w:rPr>
              <w:t>164</w:t>
            </w:r>
          </w:p>
        </w:tc>
        <w:tc>
          <w:tcPr>
            <w:tcW w:w="992" w:type="dxa"/>
            <w:tcBorders>
              <w:top w:val="single" w:sz="4" w:space="0" w:color="auto"/>
              <w:left w:val="nil"/>
              <w:bottom w:val="single" w:sz="4" w:space="0" w:color="auto"/>
              <w:right w:val="single" w:sz="4" w:space="0" w:color="auto"/>
            </w:tcBorders>
            <w:shd w:val="clear" w:color="000000" w:fill="D8E4BC"/>
            <w:noWrap/>
            <w:vAlign w:val="center"/>
            <w:hideMark/>
          </w:tcPr>
          <w:p w:rsidR="004165D8" w:rsidRPr="004165D8" w:rsidRDefault="004165D8" w:rsidP="004165D8">
            <w:pPr>
              <w:spacing w:after="0"/>
              <w:jc w:val="center"/>
              <w:rPr>
                <w:rFonts w:cs="Arial"/>
                <w:sz w:val="22"/>
                <w:szCs w:val="22"/>
              </w:rPr>
            </w:pPr>
            <w:r w:rsidRPr="004165D8">
              <w:rPr>
                <w:rFonts w:cs="Arial"/>
                <w:sz w:val="22"/>
                <w:szCs w:val="22"/>
              </w:rPr>
              <w:t>95</w:t>
            </w:r>
          </w:p>
        </w:tc>
        <w:tc>
          <w:tcPr>
            <w:tcW w:w="941" w:type="dxa"/>
            <w:tcBorders>
              <w:top w:val="single" w:sz="4" w:space="0" w:color="auto"/>
              <w:left w:val="nil"/>
              <w:bottom w:val="single" w:sz="4" w:space="0" w:color="auto"/>
              <w:right w:val="single" w:sz="4" w:space="0" w:color="auto"/>
            </w:tcBorders>
            <w:shd w:val="clear" w:color="000000" w:fill="D8E4BC"/>
            <w:noWrap/>
            <w:vAlign w:val="center"/>
            <w:hideMark/>
          </w:tcPr>
          <w:p w:rsidR="004165D8" w:rsidRPr="004165D8" w:rsidRDefault="004165D8" w:rsidP="004165D8">
            <w:pPr>
              <w:spacing w:after="0"/>
              <w:jc w:val="center"/>
              <w:rPr>
                <w:rFonts w:cs="Arial"/>
                <w:sz w:val="22"/>
                <w:szCs w:val="22"/>
              </w:rPr>
            </w:pPr>
            <w:r w:rsidRPr="004165D8">
              <w:rPr>
                <w:rFonts w:cs="Arial"/>
                <w:sz w:val="22"/>
                <w:szCs w:val="22"/>
              </w:rPr>
              <w:t>259</w:t>
            </w:r>
          </w:p>
        </w:tc>
        <w:tc>
          <w:tcPr>
            <w:tcW w:w="902" w:type="dxa"/>
            <w:tcBorders>
              <w:top w:val="single" w:sz="4" w:space="0" w:color="auto"/>
              <w:left w:val="nil"/>
              <w:bottom w:val="single" w:sz="4" w:space="0" w:color="auto"/>
              <w:right w:val="single" w:sz="4" w:space="0" w:color="auto"/>
            </w:tcBorders>
            <w:shd w:val="clear" w:color="000000" w:fill="D8E4BC"/>
            <w:noWrap/>
            <w:vAlign w:val="center"/>
            <w:hideMark/>
          </w:tcPr>
          <w:p w:rsidR="004165D8" w:rsidRPr="004165D8" w:rsidRDefault="004165D8" w:rsidP="004165D8">
            <w:pPr>
              <w:spacing w:after="0"/>
              <w:jc w:val="center"/>
              <w:rPr>
                <w:rFonts w:cs="Arial"/>
                <w:sz w:val="22"/>
                <w:szCs w:val="22"/>
              </w:rPr>
            </w:pPr>
            <w:r w:rsidRPr="004165D8">
              <w:rPr>
                <w:rFonts w:cs="Arial"/>
                <w:sz w:val="22"/>
                <w:szCs w:val="22"/>
              </w:rPr>
              <w:t>79</w:t>
            </w:r>
          </w:p>
        </w:tc>
        <w:tc>
          <w:tcPr>
            <w:tcW w:w="992" w:type="dxa"/>
            <w:tcBorders>
              <w:top w:val="single" w:sz="4" w:space="0" w:color="auto"/>
              <w:left w:val="nil"/>
              <w:bottom w:val="single" w:sz="4" w:space="0" w:color="auto"/>
              <w:right w:val="single" w:sz="4" w:space="0" w:color="auto"/>
            </w:tcBorders>
            <w:shd w:val="clear" w:color="000000" w:fill="D8E4BC"/>
            <w:noWrap/>
            <w:vAlign w:val="center"/>
            <w:hideMark/>
          </w:tcPr>
          <w:p w:rsidR="004165D8" w:rsidRPr="004165D8" w:rsidRDefault="004165D8" w:rsidP="004165D8">
            <w:pPr>
              <w:spacing w:after="0"/>
              <w:jc w:val="center"/>
              <w:rPr>
                <w:rFonts w:cs="Arial"/>
                <w:sz w:val="22"/>
                <w:szCs w:val="22"/>
              </w:rPr>
            </w:pPr>
            <w:r w:rsidRPr="004165D8">
              <w:rPr>
                <w:rFonts w:cs="Arial"/>
                <w:sz w:val="22"/>
                <w:szCs w:val="22"/>
              </w:rPr>
              <w:t>33</w:t>
            </w:r>
          </w:p>
        </w:tc>
        <w:tc>
          <w:tcPr>
            <w:tcW w:w="959" w:type="dxa"/>
            <w:tcBorders>
              <w:top w:val="single" w:sz="4" w:space="0" w:color="auto"/>
              <w:left w:val="nil"/>
              <w:bottom w:val="single" w:sz="4" w:space="0" w:color="auto"/>
              <w:right w:val="single" w:sz="4" w:space="0" w:color="auto"/>
            </w:tcBorders>
            <w:shd w:val="clear" w:color="000000" w:fill="D8E4BC"/>
            <w:noWrap/>
            <w:vAlign w:val="center"/>
            <w:hideMark/>
          </w:tcPr>
          <w:p w:rsidR="004165D8" w:rsidRPr="004165D8" w:rsidRDefault="004165D8" w:rsidP="004165D8">
            <w:pPr>
              <w:spacing w:after="0"/>
              <w:jc w:val="center"/>
              <w:rPr>
                <w:rFonts w:cs="Arial"/>
                <w:sz w:val="22"/>
                <w:szCs w:val="22"/>
              </w:rPr>
            </w:pPr>
            <w:r w:rsidRPr="004165D8">
              <w:rPr>
                <w:rFonts w:cs="Arial"/>
                <w:sz w:val="22"/>
                <w:szCs w:val="22"/>
              </w:rPr>
              <w:t>112</w:t>
            </w:r>
          </w:p>
        </w:tc>
        <w:tc>
          <w:tcPr>
            <w:tcW w:w="884" w:type="dxa"/>
            <w:tcBorders>
              <w:top w:val="single" w:sz="4" w:space="0" w:color="auto"/>
              <w:left w:val="nil"/>
              <w:bottom w:val="single" w:sz="4" w:space="0" w:color="auto"/>
              <w:right w:val="single" w:sz="4" w:space="0" w:color="auto"/>
            </w:tcBorders>
            <w:shd w:val="clear" w:color="000000" w:fill="D8E4BC"/>
            <w:noWrap/>
            <w:vAlign w:val="center"/>
            <w:hideMark/>
          </w:tcPr>
          <w:p w:rsidR="004165D8" w:rsidRPr="004165D8" w:rsidRDefault="004165D8" w:rsidP="004165D8">
            <w:pPr>
              <w:spacing w:after="0"/>
              <w:jc w:val="center"/>
              <w:rPr>
                <w:rFonts w:cs="Arial"/>
                <w:sz w:val="22"/>
                <w:szCs w:val="22"/>
              </w:rPr>
            </w:pPr>
            <w:r w:rsidRPr="004165D8">
              <w:rPr>
                <w:rFonts w:cs="Arial"/>
                <w:sz w:val="22"/>
                <w:szCs w:val="22"/>
              </w:rPr>
              <w:t>48.2%</w:t>
            </w:r>
          </w:p>
        </w:tc>
        <w:tc>
          <w:tcPr>
            <w:tcW w:w="992" w:type="dxa"/>
            <w:tcBorders>
              <w:top w:val="single" w:sz="4" w:space="0" w:color="auto"/>
              <w:left w:val="nil"/>
              <w:bottom w:val="single" w:sz="4" w:space="0" w:color="auto"/>
              <w:right w:val="single" w:sz="4" w:space="0" w:color="auto"/>
            </w:tcBorders>
            <w:shd w:val="clear" w:color="000000" w:fill="D8E4BC"/>
            <w:noWrap/>
            <w:vAlign w:val="center"/>
            <w:hideMark/>
          </w:tcPr>
          <w:p w:rsidR="004165D8" w:rsidRPr="004165D8" w:rsidRDefault="004165D8" w:rsidP="004165D8">
            <w:pPr>
              <w:spacing w:after="0"/>
              <w:jc w:val="center"/>
              <w:rPr>
                <w:rFonts w:cs="Arial"/>
                <w:sz w:val="22"/>
                <w:szCs w:val="22"/>
              </w:rPr>
            </w:pPr>
            <w:r w:rsidRPr="004165D8">
              <w:rPr>
                <w:rFonts w:cs="Arial"/>
                <w:sz w:val="22"/>
                <w:szCs w:val="22"/>
              </w:rPr>
              <w:t>34.7%</w:t>
            </w:r>
          </w:p>
        </w:tc>
        <w:tc>
          <w:tcPr>
            <w:tcW w:w="988" w:type="dxa"/>
            <w:tcBorders>
              <w:top w:val="single" w:sz="4" w:space="0" w:color="auto"/>
              <w:left w:val="nil"/>
              <w:bottom w:val="single" w:sz="4" w:space="0" w:color="auto"/>
              <w:right w:val="single" w:sz="4" w:space="0" w:color="auto"/>
            </w:tcBorders>
            <w:shd w:val="clear" w:color="000000" w:fill="D8E4BC"/>
            <w:noWrap/>
            <w:vAlign w:val="center"/>
            <w:hideMark/>
          </w:tcPr>
          <w:p w:rsidR="004165D8" w:rsidRPr="004165D8" w:rsidRDefault="004165D8" w:rsidP="004165D8">
            <w:pPr>
              <w:spacing w:after="0"/>
              <w:jc w:val="center"/>
              <w:rPr>
                <w:rFonts w:cs="Arial"/>
                <w:sz w:val="22"/>
                <w:szCs w:val="22"/>
              </w:rPr>
            </w:pPr>
            <w:r w:rsidRPr="004165D8">
              <w:rPr>
                <w:rFonts w:cs="Arial"/>
                <w:sz w:val="22"/>
                <w:szCs w:val="22"/>
              </w:rPr>
              <w:t>43.2%</w:t>
            </w:r>
          </w:p>
        </w:tc>
      </w:tr>
      <w:tr w:rsidR="004165D8" w:rsidRPr="004165D8" w:rsidTr="004165D8">
        <w:trPr>
          <w:trHeight w:val="602"/>
        </w:trPr>
        <w:tc>
          <w:tcPr>
            <w:tcW w:w="9667" w:type="dxa"/>
            <w:gridSpan w:val="10"/>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4165D8" w:rsidRPr="004165D8" w:rsidRDefault="004165D8" w:rsidP="004165D8">
            <w:pPr>
              <w:spacing w:after="0"/>
              <w:ind w:left="191" w:hanging="142"/>
              <w:rPr>
                <w:rFonts w:cs="Arial"/>
                <w:sz w:val="18"/>
                <w:szCs w:val="18"/>
              </w:rPr>
            </w:pPr>
            <w:r w:rsidRPr="004165D8">
              <w:rPr>
                <w:rFonts w:cs="Arial"/>
                <w:sz w:val="18"/>
                <w:szCs w:val="18"/>
              </w:rPr>
              <w:t>* These figures only account for 10 months of release data - the Resettlement team in Bullingdon only started recording data in this way in June 2017.</w:t>
            </w:r>
          </w:p>
        </w:tc>
      </w:tr>
      <w:tr w:rsidR="004165D8" w:rsidRPr="004165D8" w:rsidTr="004165D8">
        <w:trPr>
          <w:trHeight w:val="510"/>
        </w:trPr>
        <w:tc>
          <w:tcPr>
            <w:tcW w:w="1097"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rsidR="004165D8" w:rsidRPr="004165D8" w:rsidRDefault="004165D8" w:rsidP="004165D8">
            <w:pPr>
              <w:spacing w:after="0"/>
              <w:jc w:val="center"/>
              <w:rPr>
                <w:rFonts w:cs="Arial"/>
                <w:sz w:val="22"/>
                <w:szCs w:val="22"/>
              </w:rPr>
            </w:pPr>
            <w:r w:rsidRPr="004165D8">
              <w:rPr>
                <w:rFonts w:cs="Arial"/>
                <w:sz w:val="22"/>
                <w:szCs w:val="22"/>
              </w:rPr>
              <w:t>2018/19</w:t>
            </w:r>
          </w:p>
        </w:tc>
        <w:tc>
          <w:tcPr>
            <w:tcW w:w="920" w:type="dxa"/>
            <w:tcBorders>
              <w:top w:val="single" w:sz="4" w:space="0" w:color="auto"/>
              <w:left w:val="nil"/>
              <w:bottom w:val="single" w:sz="4" w:space="0" w:color="auto"/>
              <w:right w:val="single" w:sz="4" w:space="0" w:color="auto"/>
            </w:tcBorders>
            <w:shd w:val="clear" w:color="000000" w:fill="00B0F0"/>
            <w:noWrap/>
            <w:vAlign w:val="center"/>
            <w:hideMark/>
          </w:tcPr>
          <w:p w:rsidR="004165D8" w:rsidRPr="004165D8" w:rsidRDefault="004165D8" w:rsidP="004165D8">
            <w:pPr>
              <w:spacing w:after="0"/>
              <w:jc w:val="center"/>
              <w:rPr>
                <w:rFonts w:cs="Arial"/>
                <w:sz w:val="22"/>
                <w:szCs w:val="22"/>
              </w:rPr>
            </w:pPr>
            <w:r w:rsidRPr="004165D8">
              <w:rPr>
                <w:rFonts w:cs="Arial"/>
                <w:sz w:val="22"/>
                <w:szCs w:val="22"/>
              </w:rPr>
              <w:t>180</w:t>
            </w:r>
          </w:p>
        </w:tc>
        <w:tc>
          <w:tcPr>
            <w:tcW w:w="992" w:type="dxa"/>
            <w:tcBorders>
              <w:top w:val="single" w:sz="4" w:space="0" w:color="auto"/>
              <w:left w:val="nil"/>
              <w:bottom w:val="single" w:sz="4" w:space="0" w:color="auto"/>
              <w:right w:val="single" w:sz="4" w:space="0" w:color="auto"/>
            </w:tcBorders>
            <w:shd w:val="clear" w:color="000000" w:fill="00B0F0"/>
            <w:noWrap/>
            <w:vAlign w:val="center"/>
            <w:hideMark/>
          </w:tcPr>
          <w:p w:rsidR="004165D8" w:rsidRPr="004165D8" w:rsidRDefault="004165D8" w:rsidP="004165D8">
            <w:pPr>
              <w:spacing w:after="0"/>
              <w:jc w:val="center"/>
              <w:rPr>
                <w:rFonts w:cs="Arial"/>
                <w:sz w:val="22"/>
                <w:szCs w:val="22"/>
              </w:rPr>
            </w:pPr>
            <w:r w:rsidRPr="004165D8">
              <w:rPr>
                <w:rFonts w:cs="Arial"/>
                <w:sz w:val="22"/>
                <w:szCs w:val="22"/>
              </w:rPr>
              <w:t>81</w:t>
            </w:r>
          </w:p>
        </w:tc>
        <w:tc>
          <w:tcPr>
            <w:tcW w:w="941" w:type="dxa"/>
            <w:tcBorders>
              <w:top w:val="single" w:sz="4" w:space="0" w:color="auto"/>
              <w:left w:val="nil"/>
              <w:bottom w:val="single" w:sz="4" w:space="0" w:color="auto"/>
              <w:right w:val="single" w:sz="4" w:space="0" w:color="auto"/>
            </w:tcBorders>
            <w:shd w:val="clear" w:color="000000" w:fill="00B0F0"/>
            <w:noWrap/>
            <w:vAlign w:val="center"/>
            <w:hideMark/>
          </w:tcPr>
          <w:p w:rsidR="004165D8" w:rsidRPr="004165D8" w:rsidRDefault="004165D8" w:rsidP="004165D8">
            <w:pPr>
              <w:spacing w:after="0"/>
              <w:jc w:val="center"/>
              <w:rPr>
                <w:rFonts w:cs="Arial"/>
                <w:sz w:val="22"/>
                <w:szCs w:val="22"/>
              </w:rPr>
            </w:pPr>
            <w:r w:rsidRPr="004165D8">
              <w:rPr>
                <w:rFonts w:cs="Arial"/>
                <w:sz w:val="22"/>
                <w:szCs w:val="22"/>
              </w:rPr>
              <w:t>261</w:t>
            </w:r>
          </w:p>
        </w:tc>
        <w:tc>
          <w:tcPr>
            <w:tcW w:w="902" w:type="dxa"/>
            <w:tcBorders>
              <w:top w:val="single" w:sz="4" w:space="0" w:color="auto"/>
              <w:left w:val="nil"/>
              <w:bottom w:val="single" w:sz="4" w:space="0" w:color="auto"/>
              <w:right w:val="single" w:sz="4" w:space="0" w:color="auto"/>
            </w:tcBorders>
            <w:shd w:val="clear" w:color="000000" w:fill="00B0F0"/>
            <w:noWrap/>
            <w:vAlign w:val="center"/>
            <w:hideMark/>
          </w:tcPr>
          <w:p w:rsidR="004165D8" w:rsidRPr="004165D8" w:rsidRDefault="004165D8" w:rsidP="004165D8">
            <w:pPr>
              <w:spacing w:after="0"/>
              <w:jc w:val="center"/>
              <w:rPr>
                <w:rFonts w:cs="Arial"/>
                <w:sz w:val="22"/>
                <w:szCs w:val="22"/>
              </w:rPr>
            </w:pPr>
            <w:r w:rsidRPr="004165D8">
              <w:rPr>
                <w:rFonts w:cs="Arial"/>
                <w:sz w:val="22"/>
                <w:szCs w:val="22"/>
              </w:rPr>
              <w:t>58</w:t>
            </w:r>
          </w:p>
        </w:tc>
        <w:tc>
          <w:tcPr>
            <w:tcW w:w="992" w:type="dxa"/>
            <w:tcBorders>
              <w:top w:val="single" w:sz="4" w:space="0" w:color="auto"/>
              <w:left w:val="nil"/>
              <w:bottom w:val="single" w:sz="4" w:space="0" w:color="auto"/>
              <w:right w:val="single" w:sz="4" w:space="0" w:color="auto"/>
            </w:tcBorders>
            <w:shd w:val="clear" w:color="000000" w:fill="00B0F0"/>
            <w:noWrap/>
            <w:vAlign w:val="center"/>
            <w:hideMark/>
          </w:tcPr>
          <w:p w:rsidR="004165D8" w:rsidRPr="004165D8" w:rsidRDefault="004165D8" w:rsidP="004165D8">
            <w:pPr>
              <w:spacing w:after="0"/>
              <w:jc w:val="center"/>
              <w:rPr>
                <w:rFonts w:cs="Arial"/>
                <w:sz w:val="22"/>
                <w:szCs w:val="22"/>
              </w:rPr>
            </w:pPr>
            <w:r w:rsidRPr="004165D8">
              <w:rPr>
                <w:rFonts w:cs="Arial"/>
                <w:sz w:val="22"/>
                <w:szCs w:val="22"/>
              </w:rPr>
              <w:t>19</w:t>
            </w:r>
          </w:p>
        </w:tc>
        <w:tc>
          <w:tcPr>
            <w:tcW w:w="959" w:type="dxa"/>
            <w:tcBorders>
              <w:top w:val="single" w:sz="4" w:space="0" w:color="auto"/>
              <w:left w:val="nil"/>
              <w:bottom w:val="single" w:sz="4" w:space="0" w:color="auto"/>
              <w:right w:val="single" w:sz="4" w:space="0" w:color="auto"/>
            </w:tcBorders>
            <w:shd w:val="clear" w:color="000000" w:fill="00B0F0"/>
            <w:noWrap/>
            <w:vAlign w:val="center"/>
            <w:hideMark/>
          </w:tcPr>
          <w:p w:rsidR="004165D8" w:rsidRPr="004165D8" w:rsidRDefault="004165D8" w:rsidP="004165D8">
            <w:pPr>
              <w:spacing w:after="0"/>
              <w:jc w:val="center"/>
              <w:rPr>
                <w:rFonts w:cs="Arial"/>
                <w:sz w:val="22"/>
                <w:szCs w:val="22"/>
              </w:rPr>
            </w:pPr>
            <w:r w:rsidRPr="004165D8">
              <w:rPr>
                <w:rFonts w:cs="Arial"/>
                <w:sz w:val="22"/>
                <w:szCs w:val="22"/>
              </w:rPr>
              <w:t>77</w:t>
            </w:r>
          </w:p>
        </w:tc>
        <w:tc>
          <w:tcPr>
            <w:tcW w:w="884" w:type="dxa"/>
            <w:tcBorders>
              <w:top w:val="single" w:sz="4" w:space="0" w:color="auto"/>
              <w:left w:val="nil"/>
              <w:bottom w:val="single" w:sz="4" w:space="0" w:color="auto"/>
              <w:right w:val="single" w:sz="4" w:space="0" w:color="auto"/>
            </w:tcBorders>
            <w:shd w:val="clear" w:color="000000" w:fill="00B0F0"/>
            <w:noWrap/>
            <w:vAlign w:val="center"/>
            <w:hideMark/>
          </w:tcPr>
          <w:p w:rsidR="004165D8" w:rsidRPr="004165D8" w:rsidRDefault="004165D8" w:rsidP="004165D8">
            <w:pPr>
              <w:spacing w:after="0"/>
              <w:jc w:val="center"/>
              <w:rPr>
                <w:rFonts w:cs="Arial"/>
                <w:sz w:val="22"/>
                <w:szCs w:val="22"/>
              </w:rPr>
            </w:pPr>
            <w:r w:rsidRPr="004165D8">
              <w:rPr>
                <w:rFonts w:cs="Arial"/>
                <w:sz w:val="22"/>
                <w:szCs w:val="22"/>
              </w:rPr>
              <w:t>32.2%</w:t>
            </w:r>
          </w:p>
        </w:tc>
        <w:tc>
          <w:tcPr>
            <w:tcW w:w="992" w:type="dxa"/>
            <w:tcBorders>
              <w:top w:val="single" w:sz="4" w:space="0" w:color="auto"/>
              <w:left w:val="nil"/>
              <w:bottom w:val="single" w:sz="4" w:space="0" w:color="auto"/>
              <w:right w:val="single" w:sz="4" w:space="0" w:color="auto"/>
            </w:tcBorders>
            <w:shd w:val="clear" w:color="000000" w:fill="00B0F0"/>
            <w:noWrap/>
            <w:vAlign w:val="center"/>
            <w:hideMark/>
          </w:tcPr>
          <w:p w:rsidR="004165D8" w:rsidRPr="004165D8" w:rsidRDefault="004165D8" w:rsidP="004165D8">
            <w:pPr>
              <w:spacing w:after="0"/>
              <w:jc w:val="center"/>
              <w:rPr>
                <w:rFonts w:cs="Arial"/>
                <w:sz w:val="22"/>
                <w:szCs w:val="22"/>
              </w:rPr>
            </w:pPr>
            <w:r w:rsidRPr="004165D8">
              <w:rPr>
                <w:rFonts w:cs="Arial"/>
                <w:sz w:val="22"/>
                <w:szCs w:val="22"/>
              </w:rPr>
              <w:t>23.5%</w:t>
            </w:r>
          </w:p>
        </w:tc>
        <w:tc>
          <w:tcPr>
            <w:tcW w:w="988" w:type="dxa"/>
            <w:tcBorders>
              <w:top w:val="single" w:sz="4" w:space="0" w:color="auto"/>
              <w:left w:val="nil"/>
              <w:bottom w:val="single" w:sz="4" w:space="0" w:color="auto"/>
              <w:right w:val="single" w:sz="4" w:space="0" w:color="auto"/>
            </w:tcBorders>
            <w:shd w:val="clear" w:color="000000" w:fill="00B0F0"/>
            <w:noWrap/>
            <w:vAlign w:val="center"/>
            <w:hideMark/>
          </w:tcPr>
          <w:p w:rsidR="004165D8" w:rsidRPr="004165D8" w:rsidRDefault="004165D8" w:rsidP="004165D8">
            <w:pPr>
              <w:spacing w:after="0"/>
              <w:jc w:val="center"/>
              <w:rPr>
                <w:rFonts w:cs="Arial"/>
                <w:sz w:val="22"/>
                <w:szCs w:val="22"/>
              </w:rPr>
            </w:pPr>
            <w:r w:rsidRPr="004165D8">
              <w:rPr>
                <w:rFonts w:cs="Arial"/>
                <w:sz w:val="22"/>
                <w:szCs w:val="22"/>
              </w:rPr>
              <w:t>29.5%</w:t>
            </w:r>
          </w:p>
        </w:tc>
      </w:tr>
      <w:tr w:rsidR="004165D8" w:rsidRPr="004165D8" w:rsidTr="004165D8">
        <w:trPr>
          <w:trHeight w:val="510"/>
        </w:trPr>
        <w:tc>
          <w:tcPr>
            <w:tcW w:w="1097" w:type="dxa"/>
            <w:tcBorders>
              <w:top w:val="single" w:sz="4" w:space="0" w:color="auto"/>
              <w:left w:val="single" w:sz="4" w:space="0" w:color="auto"/>
              <w:bottom w:val="single" w:sz="4" w:space="0" w:color="auto"/>
              <w:right w:val="single" w:sz="4" w:space="0" w:color="auto"/>
            </w:tcBorders>
            <w:shd w:val="clear" w:color="000000" w:fill="00B0F0"/>
            <w:noWrap/>
            <w:vAlign w:val="center"/>
          </w:tcPr>
          <w:p w:rsidR="004165D8" w:rsidRPr="004165D8" w:rsidRDefault="004165D8" w:rsidP="004165D8">
            <w:pPr>
              <w:spacing w:after="0"/>
              <w:jc w:val="center"/>
              <w:rPr>
                <w:rFonts w:cs="Arial"/>
                <w:sz w:val="22"/>
                <w:szCs w:val="22"/>
              </w:rPr>
            </w:pPr>
            <w:r w:rsidRPr="004165D8">
              <w:rPr>
                <w:rFonts w:cs="Arial"/>
                <w:sz w:val="22"/>
                <w:szCs w:val="22"/>
              </w:rPr>
              <w:t>2019/20*</w:t>
            </w:r>
          </w:p>
        </w:tc>
        <w:tc>
          <w:tcPr>
            <w:tcW w:w="920" w:type="dxa"/>
            <w:tcBorders>
              <w:top w:val="single" w:sz="4" w:space="0" w:color="auto"/>
              <w:left w:val="nil"/>
              <w:bottom w:val="single" w:sz="4" w:space="0" w:color="auto"/>
              <w:right w:val="single" w:sz="4" w:space="0" w:color="auto"/>
            </w:tcBorders>
            <w:shd w:val="clear" w:color="000000" w:fill="00B0F0"/>
            <w:noWrap/>
            <w:vAlign w:val="center"/>
          </w:tcPr>
          <w:p w:rsidR="004165D8" w:rsidRPr="004165D8" w:rsidRDefault="004165D8" w:rsidP="004165D8">
            <w:pPr>
              <w:spacing w:after="0"/>
              <w:jc w:val="center"/>
              <w:rPr>
                <w:rFonts w:cs="Arial"/>
                <w:sz w:val="22"/>
                <w:szCs w:val="22"/>
              </w:rPr>
            </w:pPr>
            <w:r w:rsidRPr="004165D8">
              <w:rPr>
                <w:rFonts w:cs="Arial"/>
                <w:sz w:val="22"/>
                <w:szCs w:val="22"/>
              </w:rPr>
              <w:t>65</w:t>
            </w:r>
          </w:p>
        </w:tc>
        <w:tc>
          <w:tcPr>
            <w:tcW w:w="992" w:type="dxa"/>
            <w:tcBorders>
              <w:top w:val="single" w:sz="4" w:space="0" w:color="auto"/>
              <w:left w:val="nil"/>
              <w:bottom w:val="single" w:sz="4" w:space="0" w:color="auto"/>
              <w:right w:val="single" w:sz="4" w:space="0" w:color="auto"/>
            </w:tcBorders>
            <w:shd w:val="clear" w:color="000000" w:fill="00B0F0"/>
            <w:noWrap/>
            <w:vAlign w:val="center"/>
          </w:tcPr>
          <w:p w:rsidR="004165D8" w:rsidRPr="004165D8" w:rsidRDefault="004165D8" w:rsidP="004165D8">
            <w:pPr>
              <w:spacing w:after="0"/>
              <w:jc w:val="center"/>
              <w:rPr>
                <w:rFonts w:cs="Arial"/>
                <w:sz w:val="22"/>
                <w:szCs w:val="22"/>
              </w:rPr>
            </w:pPr>
            <w:r w:rsidRPr="004165D8">
              <w:rPr>
                <w:rFonts w:cs="Arial"/>
                <w:sz w:val="22"/>
                <w:szCs w:val="22"/>
              </w:rPr>
              <w:t>30</w:t>
            </w:r>
          </w:p>
        </w:tc>
        <w:tc>
          <w:tcPr>
            <w:tcW w:w="941" w:type="dxa"/>
            <w:tcBorders>
              <w:top w:val="single" w:sz="4" w:space="0" w:color="auto"/>
              <w:left w:val="nil"/>
              <w:bottom w:val="single" w:sz="4" w:space="0" w:color="auto"/>
              <w:right w:val="single" w:sz="4" w:space="0" w:color="auto"/>
            </w:tcBorders>
            <w:shd w:val="clear" w:color="000000" w:fill="00B0F0"/>
            <w:noWrap/>
            <w:vAlign w:val="center"/>
          </w:tcPr>
          <w:p w:rsidR="004165D8" w:rsidRPr="004165D8" w:rsidRDefault="004165D8" w:rsidP="004165D8">
            <w:pPr>
              <w:spacing w:after="0"/>
              <w:jc w:val="center"/>
              <w:rPr>
                <w:rFonts w:cs="Arial"/>
                <w:sz w:val="22"/>
                <w:szCs w:val="22"/>
              </w:rPr>
            </w:pPr>
            <w:r w:rsidRPr="004165D8">
              <w:rPr>
                <w:rFonts w:cs="Arial"/>
                <w:sz w:val="22"/>
                <w:szCs w:val="22"/>
              </w:rPr>
              <w:t>95</w:t>
            </w:r>
          </w:p>
        </w:tc>
        <w:tc>
          <w:tcPr>
            <w:tcW w:w="902" w:type="dxa"/>
            <w:tcBorders>
              <w:top w:val="single" w:sz="4" w:space="0" w:color="auto"/>
              <w:left w:val="nil"/>
              <w:bottom w:val="single" w:sz="4" w:space="0" w:color="auto"/>
              <w:right w:val="single" w:sz="4" w:space="0" w:color="auto"/>
            </w:tcBorders>
            <w:shd w:val="clear" w:color="000000" w:fill="00B0F0"/>
            <w:noWrap/>
            <w:vAlign w:val="center"/>
          </w:tcPr>
          <w:p w:rsidR="004165D8" w:rsidRPr="004165D8" w:rsidRDefault="004165D8" w:rsidP="004165D8">
            <w:pPr>
              <w:spacing w:after="0"/>
              <w:jc w:val="center"/>
              <w:rPr>
                <w:rFonts w:cs="Arial"/>
                <w:sz w:val="22"/>
                <w:szCs w:val="22"/>
              </w:rPr>
            </w:pPr>
            <w:r w:rsidRPr="004165D8">
              <w:rPr>
                <w:rFonts w:cs="Arial"/>
                <w:sz w:val="22"/>
                <w:szCs w:val="22"/>
              </w:rPr>
              <w:t>23</w:t>
            </w:r>
          </w:p>
        </w:tc>
        <w:tc>
          <w:tcPr>
            <w:tcW w:w="992" w:type="dxa"/>
            <w:tcBorders>
              <w:top w:val="single" w:sz="4" w:space="0" w:color="auto"/>
              <w:left w:val="nil"/>
              <w:bottom w:val="single" w:sz="4" w:space="0" w:color="auto"/>
              <w:right w:val="single" w:sz="4" w:space="0" w:color="auto"/>
            </w:tcBorders>
            <w:shd w:val="clear" w:color="000000" w:fill="00B0F0"/>
            <w:noWrap/>
            <w:vAlign w:val="center"/>
          </w:tcPr>
          <w:p w:rsidR="004165D8" w:rsidRPr="004165D8" w:rsidRDefault="004165D8" w:rsidP="004165D8">
            <w:pPr>
              <w:spacing w:after="0"/>
              <w:jc w:val="center"/>
              <w:rPr>
                <w:rFonts w:cs="Arial"/>
                <w:sz w:val="22"/>
                <w:szCs w:val="22"/>
              </w:rPr>
            </w:pPr>
            <w:r w:rsidRPr="004165D8">
              <w:rPr>
                <w:rFonts w:cs="Arial"/>
                <w:sz w:val="22"/>
                <w:szCs w:val="22"/>
              </w:rPr>
              <w:t>10</w:t>
            </w:r>
          </w:p>
        </w:tc>
        <w:tc>
          <w:tcPr>
            <w:tcW w:w="959" w:type="dxa"/>
            <w:tcBorders>
              <w:top w:val="single" w:sz="4" w:space="0" w:color="auto"/>
              <w:left w:val="nil"/>
              <w:bottom w:val="single" w:sz="4" w:space="0" w:color="auto"/>
              <w:right w:val="single" w:sz="4" w:space="0" w:color="auto"/>
            </w:tcBorders>
            <w:shd w:val="clear" w:color="000000" w:fill="00B0F0"/>
            <w:noWrap/>
            <w:vAlign w:val="center"/>
          </w:tcPr>
          <w:p w:rsidR="004165D8" w:rsidRPr="004165D8" w:rsidRDefault="004165D8" w:rsidP="004165D8">
            <w:pPr>
              <w:spacing w:after="0"/>
              <w:jc w:val="center"/>
              <w:rPr>
                <w:rFonts w:cs="Arial"/>
                <w:sz w:val="22"/>
                <w:szCs w:val="22"/>
              </w:rPr>
            </w:pPr>
            <w:r w:rsidRPr="004165D8">
              <w:rPr>
                <w:rFonts w:cs="Arial"/>
                <w:sz w:val="22"/>
                <w:szCs w:val="22"/>
              </w:rPr>
              <w:t>33</w:t>
            </w:r>
          </w:p>
        </w:tc>
        <w:tc>
          <w:tcPr>
            <w:tcW w:w="884" w:type="dxa"/>
            <w:tcBorders>
              <w:top w:val="single" w:sz="4" w:space="0" w:color="auto"/>
              <w:left w:val="nil"/>
              <w:bottom w:val="single" w:sz="4" w:space="0" w:color="auto"/>
              <w:right w:val="single" w:sz="4" w:space="0" w:color="auto"/>
            </w:tcBorders>
            <w:shd w:val="clear" w:color="000000" w:fill="00B0F0"/>
            <w:noWrap/>
            <w:vAlign w:val="center"/>
          </w:tcPr>
          <w:p w:rsidR="004165D8" w:rsidRPr="004165D8" w:rsidRDefault="004165D8" w:rsidP="004165D8">
            <w:pPr>
              <w:spacing w:after="0"/>
              <w:jc w:val="center"/>
              <w:rPr>
                <w:rFonts w:cs="Arial"/>
                <w:sz w:val="22"/>
                <w:szCs w:val="22"/>
              </w:rPr>
            </w:pPr>
            <w:r w:rsidRPr="004165D8">
              <w:rPr>
                <w:rFonts w:cs="Arial"/>
                <w:sz w:val="22"/>
                <w:szCs w:val="22"/>
              </w:rPr>
              <w:t>35.4%</w:t>
            </w:r>
          </w:p>
        </w:tc>
        <w:tc>
          <w:tcPr>
            <w:tcW w:w="992" w:type="dxa"/>
            <w:tcBorders>
              <w:top w:val="single" w:sz="4" w:space="0" w:color="auto"/>
              <w:left w:val="nil"/>
              <w:bottom w:val="single" w:sz="4" w:space="0" w:color="auto"/>
              <w:right w:val="single" w:sz="4" w:space="0" w:color="auto"/>
            </w:tcBorders>
            <w:shd w:val="clear" w:color="000000" w:fill="00B0F0"/>
            <w:noWrap/>
            <w:vAlign w:val="center"/>
          </w:tcPr>
          <w:p w:rsidR="004165D8" w:rsidRPr="004165D8" w:rsidRDefault="004165D8" w:rsidP="004165D8">
            <w:pPr>
              <w:spacing w:after="0"/>
              <w:jc w:val="center"/>
              <w:rPr>
                <w:rFonts w:cs="Arial"/>
                <w:sz w:val="22"/>
                <w:szCs w:val="22"/>
              </w:rPr>
            </w:pPr>
            <w:r w:rsidRPr="004165D8">
              <w:rPr>
                <w:rFonts w:cs="Arial"/>
                <w:sz w:val="22"/>
                <w:szCs w:val="22"/>
              </w:rPr>
              <w:t>30.0%</w:t>
            </w:r>
          </w:p>
        </w:tc>
        <w:tc>
          <w:tcPr>
            <w:tcW w:w="988" w:type="dxa"/>
            <w:tcBorders>
              <w:top w:val="single" w:sz="4" w:space="0" w:color="auto"/>
              <w:left w:val="nil"/>
              <w:bottom w:val="single" w:sz="4" w:space="0" w:color="auto"/>
              <w:right w:val="single" w:sz="4" w:space="0" w:color="auto"/>
            </w:tcBorders>
            <w:shd w:val="clear" w:color="000000" w:fill="00B0F0"/>
            <w:noWrap/>
            <w:vAlign w:val="center"/>
          </w:tcPr>
          <w:p w:rsidR="004165D8" w:rsidRPr="004165D8" w:rsidRDefault="004165D8" w:rsidP="004165D8">
            <w:pPr>
              <w:spacing w:after="0"/>
              <w:jc w:val="center"/>
              <w:rPr>
                <w:rFonts w:cs="Arial"/>
                <w:sz w:val="22"/>
                <w:szCs w:val="22"/>
              </w:rPr>
            </w:pPr>
            <w:r w:rsidRPr="004165D8">
              <w:rPr>
                <w:rFonts w:cs="Arial"/>
                <w:sz w:val="22"/>
                <w:szCs w:val="22"/>
              </w:rPr>
              <w:t>34.7%</w:t>
            </w:r>
          </w:p>
        </w:tc>
      </w:tr>
      <w:tr w:rsidR="004165D8" w:rsidRPr="004165D8" w:rsidTr="004165D8">
        <w:trPr>
          <w:trHeight w:val="510"/>
        </w:trPr>
        <w:tc>
          <w:tcPr>
            <w:tcW w:w="1097" w:type="dxa"/>
            <w:tcBorders>
              <w:top w:val="single" w:sz="4" w:space="0" w:color="auto"/>
              <w:left w:val="single" w:sz="4" w:space="0" w:color="auto"/>
              <w:bottom w:val="single" w:sz="4" w:space="0" w:color="auto"/>
              <w:right w:val="single" w:sz="4" w:space="0" w:color="auto"/>
            </w:tcBorders>
            <w:shd w:val="clear" w:color="000000" w:fill="00B0F0"/>
            <w:noWrap/>
            <w:vAlign w:val="center"/>
          </w:tcPr>
          <w:p w:rsidR="004165D8" w:rsidRPr="004165D8" w:rsidRDefault="004165D8" w:rsidP="004165D8">
            <w:pPr>
              <w:spacing w:after="0"/>
              <w:jc w:val="center"/>
              <w:rPr>
                <w:rFonts w:cs="Arial"/>
                <w:b/>
                <w:sz w:val="22"/>
                <w:szCs w:val="22"/>
              </w:rPr>
            </w:pPr>
            <w:r w:rsidRPr="004165D8">
              <w:rPr>
                <w:rFonts w:cs="Arial"/>
                <w:b/>
                <w:sz w:val="22"/>
                <w:szCs w:val="22"/>
              </w:rPr>
              <w:t>TOTAL</w:t>
            </w:r>
          </w:p>
        </w:tc>
        <w:tc>
          <w:tcPr>
            <w:tcW w:w="920" w:type="dxa"/>
            <w:tcBorders>
              <w:top w:val="single" w:sz="4" w:space="0" w:color="auto"/>
              <w:left w:val="nil"/>
              <w:bottom w:val="single" w:sz="4" w:space="0" w:color="auto"/>
              <w:right w:val="single" w:sz="4" w:space="0" w:color="auto"/>
            </w:tcBorders>
            <w:shd w:val="clear" w:color="000000" w:fill="00B0F0"/>
            <w:noWrap/>
            <w:vAlign w:val="center"/>
          </w:tcPr>
          <w:p w:rsidR="004165D8" w:rsidRPr="004165D8" w:rsidRDefault="004165D8" w:rsidP="004165D8">
            <w:pPr>
              <w:spacing w:after="0"/>
              <w:jc w:val="center"/>
              <w:rPr>
                <w:rFonts w:cs="Arial"/>
                <w:b/>
                <w:sz w:val="22"/>
                <w:szCs w:val="22"/>
              </w:rPr>
            </w:pPr>
            <w:r w:rsidRPr="004165D8">
              <w:rPr>
                <w:rFonts w:cs="Arial"/>
                <w:b/>
                <w:sz w:val="22"/>
                <w:szCs w:val="22"/>
              </w:rPr>
              <w:t>245</w:t>
            </w:r>
          </w:p>
        </w:tc>
        <w:tc>
          <w:tcPr>
            <w:tcW w:w="992" w:type="dxa"/>
            <w:tcBorders>
              <w:top w:val="single" w:sz="4" w:space="0" w:color="auto"/>
              <w:left w:val="nil"/>
              <w:bottom w:val="single" w:sz="4" w:space="0" w:color="auto"/>
              <w:right w:val="single" w:sz="4" w:space="0" w:color="auto"/>
            </w:tcBorders>
            <w:shd w:val="clear" w:color="000000" w:fill="00B0F0"/>
            <w:noWrap/>
            <w:vAlign w:val="center"/>
          </w:tcPr>
          <w:p w:rsidR="004165D8" w:rsidRPr="004165D8" w:rsidRDefault="004165D8" w:rsidP="004165D8">
            <w:pPr>
              <w:spacing w:after="0"/>
              <w:jc w:val="center"/>
              <w:rPr>
                <w:rFonts w:cs="Arial"/>
                <w:b/>
                <w:sz w:val="22"/>
                <w:szCs w:val="22"/>
              </w:rPr>
            </w:pPr>
            <w:r w:rsidRPr="004165D8">
              <w:rPr>
                <w:rFonts w:cs="Arial"/>
                <w:b/>
                <w:sz w:val="22"/>
                <w:szCs w:val="22"/>
              </w:rPr>
              <w:t>111</w:t>
            </w:r>
          </w:p>
        </w:tc>
        <w:tc>
          <w:tcPr>
            <w:tcW w:w="941" w:type="dxa"/>
            <w:tcBorders>
              <w:top w:val="single" w:sz="4" w:space="0" w:color="auto"/>
              <w:left w:val="nil"/>
              <w:bottom w:val="single" w:sz="4" w:space="0" w:color="auto"/>
              <w:right w:val="single" w:sz="4" w:space="0" w:color="auto"/>
            </w:tcBorders>
            <w:shd w:val="clear" w:color="000000" w:fill="00B0F0"/>
            <w:noWrap/>
            <w:vAlign w:val="center"/>
          </w:tcPr>
          <w:p w:rsidR="004165D8" w:rsidRPr="004165D8" w:rsidRDefault="004165D8" w:rsidP="004165D8">
            <w:pPr>
              <w:spacing w:after="0"/>
              <w:jc w:val="center"/>
              <w:rPr>
                <w:rFonts w:cs="Arial"/>
                <w:b/>
                <w:sz w:val="22"/>
                <w:szCs w:val="22"/>
              </w:rPr>
            </w:pPr>
            <w:r w:rsidRPr="004165D8">
              <w:rPr>
                <w:rFonts w:cs="Arial"/>
                <w:b/>
                <w:sz w:val="22"/>
                <w:szCs w:val="22"/>
              </w:rPr>
              <w:t>356</w:t>
            </w:r>
          </w:p>
        </w:tc>
        <w:tc>
          <w:tcPr>
            <w:tcW w:w="902" w:type="dxa"/>
            <w:tcBorders>
              <w:top w:val="single" w:sz="4" w:space="0" w:color="auto"/>
              <w:left w:val="nil"/>
              <w:bottom w:val="single" w:sz="4" w:space="0" w:color="auto"/>
              <w:right w:val="single" w:sz="4" w:space="0" w:color="auto"/>
            </w:tcBorders>
            <w:shd w:val="clear" w:color="000000" w:fill="00B0F0"/>
            <w:noWrap/>
            <w:vAlign w:val="center"/>
          </w:tcPr>
          <w:p w:rsidR="004165D8" w:rsidRPr="004165D8" w:rsidRDefault="004165D8" w:rsidP="004165D8">
            <w:pPr>
              <w:spacing w:after="0"/>
              <w:jc w:val="center"/>
              <w:rPr>
                <w:rFonts w:cs="Arial"/>
                <w:b/>
                <w:sz w:val="22"/>
                <w:szCs w:val="22"/>
              </w:rPr>
            </w:pPr>
            <w:r w:rsidRPr="004165D8">
              <w:rPr>
                <w:rFonts w:cs="Arial"/>
                <w:b/>
                <w:sz w:val="22"/>
                <w:szCs w:val="22"/>
              </w:rPr>
              <w:t>81</w:t>
            </w:r>
          </w:p>
        </w:tc>
        <w:tc>
          <w:tcPr>
            <w:tcW w:w="992" w:type="dxa"/>
            <w:tcBorders>
              <w:top w:val="single" w:sz="4" w:space="0" w:color="auto"/>
              <w:left w:val="nil"/>
              <w:bottom w:val="single" w:sz="4" w:space="0" w:color="auto"/>
              <w:right w:val="single" w:sz="4" w:space="0" w:color="auto"/>
            </w:tcBorders>
            <w:shd w:val="clear" w:color="000000" w:fill="00B0F0"/>
            <w:noWrap/>
            <w:vAlign w:val="center"/>
          </w:tcPr>
          <w:p w:rsidR="004165D8" w:rsidRPr="004165D8" w:rsidRDefault="004165D8" w:rsidP="004165D8">
            <w:pPr>
              <w:spacing w:after="0"/>
              <w:jc w:val="center"/>
              <w:rPr>
                <w:rFonts w:cs="Arial"/>
                <w:b/>
                <w:sz w:val="22"/>
                <w:szCs w:val="22"/>
              </w:rPr>
            </w:pPr>
            <w:r w:rsidRPr="004165D8">
              <w:rPr>
                <w:rFonts w:cs="Arial"/>
                <w:b/>
                <w:sz w:val="22"/>
                <w:szCs w:val="22"/>
              </w:rPr>
              <w:t>29</w:t>
            </w:r>
          </w:p>
        </w:tc>
        <w:tc>
          <w:tcPr>
            <w:tcW w:w="959" w:type="dxa"/>
            <w:tcBorders>
              <w:top w:val="single" w:sz="4" w:space="0" w:color="auto"/>
              <w:left w:val="nil"/>
              <w:bottom w:val="single" w:sz="4" w:space="0" w:color="auto"/>
              <w:right w:val="single" w:sz="4" w:space="0" w:color="auto"/>
            </w:tcBorders>
            <w:shd w:val="clear" w:color="000000" w:fill="00B0F0"/>
            <w:noWrap/>
            <w:vAlign w:val="center"/>
          </w:tcPr>
          <w:p w:rsidR="004165D8" w:rsidRPr="004165D8" w:rsidRDefault="004165D8" w:rsidP="004165D8">
            <w:pPr>
              <w:spacing w:after="0"/>
              <w:jc w:val="center"/>
              <w:rPr>
                <w:rFonts w:cs="Arial"/>
                <w:b/>
                <w:sz w:val="22"/>
                <w:szCs w:val="22"/>
              </w:rPr>
            </w:pPr>
            <w:r w:rsidRPr="004165D8">
              <w:rPr>
                <w:rFonts w:cs="Arial"/>
                <w:b/>
                <w:sz w:val="22"/>
                <w:szCs w:val="22"/>
              </w:rPr>
              <w:t>110</w:t>
            </w:r>
          </w:p>
        </w:tc>
        <w:tc>
          <w:tcPr>
            <w:tcW w:w="884" w:type="dxa"/>
            <w:tcBorders>
              <w:top w:val="single" w:sz="4" w:space="0" w:color="auto"/>
              <w:left w:val="nil"/>
              <w:bottom w:val="single" w:sz="4" w:space="0" w:color="auto"/>
              <w:right w:val="single" w:sz="4" w:space="0" w:color="auto"/>
            </w:tcBorders>
            <w:shd w:val="clear" w:color="000000" w:fill="00B0F0"/>
            <w:noWrap/>
            <w:vAlign w:val="center"/>
          </w:tcPr>
          <w:p w:rsidR="004165D8" w:rsidRPr="004165D8" w:rsidRDefault="004165D8" w:rsidP="004165D8">
            <w:pPr>
              <w:spacing w:after="0"/>
              <w:jc w:val="center"/>
              <w:rPr>
                <w:rFonts w:cs="Arial"/>
                <w:b/>
                <w:sz w:val="22"/>
                <w:szCs w:val="22"/>
              </w:rPr>
            </w:pPr>
            <w:r w:rsidRPr="004165D8">
              <w:rPr>
                <w:rFonts w:cs="Arial"/>
                <w:b/>
                <w:sz w:val="22"/>
                <w:szCs w:val="22"/>
              </w:rPr>
              <w:t>33.1%</w:t>
            </w:r>
          </w:p>
        </w:tc>
        <w:tc>
          <w:tcPr>
            <w:tcW w:w="992" w:type="dxa"/>
            <w:tcBorders>
              <w:top w:val="single" w:sz="4" w:space="0" w:color="auto"/>
              <w:left w:val="nil"/>
              <w:bottom w:val="single" w:sz="4" w:space="0" w:color="auto"/>
              <w:right w:val="single" w:sz="4" w:space="0" w:color="auto"/>
            </w:tcBorders>
            <w:shd w:val="clear" w:color="000000" w:fill="00B0F0"/>
            <w:noWrap/>
            <w:vAlign w:val="center"/>
          </w:tcPr>
          <w:p w:rsidR="004165D8" w:rsidRPr="004165D8" w:rsidRDefault="004165D8" w:rsidP="004165D8">
            <w:pPr>
              <w:spacing w:after="0"/>
              <w:jc w:val="center"/>
              <w:rPr>
                <w:rFonts w:cs="Arial"/>
                <w:b/>
                <w:sz w:val="22"/>
                <w:szCs w:val="22"/>
              </w:rPr>
            </w:pPr>
            <w:r w:rsidRPr="004165D8">
              <w:rPr>
                <w:rFonts w:cs="Arial"/>
                <w:b/>
                <w:sz w:val="22"/>
                <w:szCs w:val="22"/>
              </w:rPr>
              <w:t>26.1%</w:t>
            </w:r>
          </w:p>
        </w:tc>
        <w:tc>
          <w:tcPr>
            <w:tcW w:w="988" w:type="dxa"/>
            <w:tcBorders>
              <w:top w:val="single" w:sz="4" w:space="0" w:color="auto"/>
              <w:left w:val="nil"/>
              <w:bottom w:val="single" w:sz="4" w:space="0" w:color="auto"/>
              <w:right w:val="single" w:sz="4" w:space="0" w:color="auto"/>
            </w:tcBorders>
            <w:shd w:val="clear" w:color="000000" w:fill="00B0F0"/>
            <w:noWrap/>
            <w:vAlign w:val="center"/>
          </w:tcPr>
          <w:p w:rsidR="004165D8" w:rsidRPr="004165D8" w:rsidRDefault="004165D8" w:rsidP="004165D8">
            <w:pPr>
              <w:spacing w:after="0"/>
              <w:jc w:val="center"/>
              <w:rPr>
                <w:rFonts w:cs="Arial"/>
                <w:b/>
                <w:sz w:val="22"/>
                <w:szCs w:val="22"/>
              </w:rPr>
            </w:pPr>
            <w:r w:rsidRPr="004165D8">
              <w:rPr>
                <w:rFonts w:cs="Arial"/>
                <w:b/>
                <w:sz w:val="22"/>
                <w:szCs w:val="22"/>
              </w:rPr>
              <w:t>30.9%</w:t>
            </w:r>
          </w:p>
        </w:tc>
      </w:tr>
      <w:tr w:rsidR="004165D8" w:rsidRPr="004165D8" w:rsidTr="004165D8">
        <w:trPr>
          <w:trHeight w:val="602"/>
        </w:trPr>
        <w:tc>
          <w:tcPr>
            <w:tcW w:w="9667" w:type="dxa"/>
            <w:gridSpan w:val="10"/>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4165D8" w:rsidRPr="004165D8" w:rsidRDefault="004165D8" w:rsidP="004165D8">
            <w:pPr>
              <w:spacing w:after="0"/>
              <w:ind w:left="191" w:hanging="142"/>
              <w:rPr>
                <w:rFonts w:cs="Arial"/>
                <w:sz w:val="18"/>
                <w:szCs w:val="18"/>
              </w:rPr>
            </w:pPr>
            <w:r w:rsidRPr="004165D8">
              <w:rPr>
                <w:rFonts w:cs="Arial"/>
                <w:sz w:val="18"/>
                <w:szCs w:val="18"/>
              </w:rPr>
              <w:t xml:space="preserve">* These figures only account for 4 months of data (April 2019 – July 2019) </w:t>
            </w:r>
          </w:p>
        </w:tc>
      </w:tr>
    </w:tbl>
    <w:p w:rsidR="004165D8" w:rsidRPr="004165D8" w:rsidRDefault="004165D8" w:rsidP="004165D8">
      <w:pPr>
        <w:spacing w:after="0"/>
        <w:rPr>
          <w:rFonts w:eastAsiaTheme="minorHAnsi" w:cs="Arial"/>
          <w:color w:val="auto"/>
          <w:u w:val="single"/>
          <w:lang w:eastAsia="en-US"/>
        </w:rPr>
      </w:pPr>
    </w:p>
    <w:p w:rsidR="004165D8" w:rsidRPr="004165D8" w:rsidRDefault="004165D8" w:rsidP="004165D8">
      <w:pPr>
        <w:spacing w:after="0"/>
        <w:rPr>
          <w:rFonts w:eastAsiaTheme="minorHAnsi" w:cs="Arial"/>
          <w:color w:val="auto"/>
          <w:sz w:val="22"/>
          <w:szCs w:val="22"/>
          <w:lang w:eastAsia="en-US"/>
        </w:rPr>
      </w:pPr>
      <w:r w:rsidRPr="004165D8">
        <w:rPr>
          <w:rFonts w:eastAsiaTheme="minorHAnsi" w:cs="Arial"/>
          <w:color w:val="auto"/>
          <w:sz w:val="22"/>
          <w:szCs w:val="22"/>
          <w:lang w:eastAsia="en-US"/>
        </w:rPr>
        <w:t xml:space="preserve">The numbers clearly show that across the board there have been significant reductions both in terms of the actual numbers of people being released NFA and the percentage of individuals being released. </w:t>
      </w:r>
    </w:p>
    <w:p w:rsidR="004165D8" w:rsidRPr="004165D8" w:rsidRDefault="004165D8" w:rsidP="004165D8">
      <w:pPr>
        <w:spacing w:after="0"/>
        <w:rPr>
          <w:rFonts w:eastAsiaTheme="minorHAnsi" w:cs="Arial"/>
          <w:color w:val="auto"/>
          <w:sz w:val="22"/>
          <w:szCs w:val="22"/>
          <w:lang w:eastAsia="en-US"/>
        </w:rPr>
      </w:pPr>
    </w:p>
    <w:p w:rsidR="004165D8" w:rsidRPr="004165D8" w:rsidRDefault="004165D8" w:rsidP="004165D8">
      <w:pPr>
        <w:spacing w:after="0"/>
        <w:rPr>
          <w:rFonts w:eastAsiaTheme="minorHAnsi" w:cs="Arial"/>
          <w:color w:val="auto"/>
          <w:sz w:val="22"/>
          <w:szCs w:val="22"/>
          <w:lang w:eastAsia="en-US"/>
        </w:rPr>
      </w:pPr>
      <w:r w:rsidRPr="004165D8">
        <w:rPr>
          <w:rFonts w:eastAsiaTheme="minorHAnsi" w:cs="Arial"/>
          <w:color w:val="auto"/>
          <w:sz w:val="22"/>
          <w:szCs w:val="22"/>
          <w:lang w:eastAsia="en-US"/>
        </w:rPr>
        <w:t>A further way of looking at this is to consider the average number of Oxfordshire individuals being released each month. Prior to Trailblazer’s involvement there were 11.2 people being released from Bullingdon NFA each month. This figure now stands at 6.9 people per month. As such we approximate that 51 less people with an Oxfordshire connection will leave Bullingdon as homeless in a year.</w:t>
      </w:r>
    </w:p>
    <w:p w:rsidR="004165D8" w:rsidRPr="004165D8" w:rsidRDefault="004165D8" w:rsidP="004165D8">
      <w:pPr>
        <w:spacing w:after="0"/>
        <w:rPr>
          <w:rFonts w:eastAsiaTheme="minorHAnsi" w:cs="Arial"/>
          <w:color w:val="auto"/>
          <w:sz w:val="22"/>
          <w:szCs w:val="22"/>
          <w:lang w:eastAsia="en-US"/>
        </w:rPr>
      </w:pPr>
    </w:p>
    <w:p w:rsidR="004165D8" w:rsidRPr="004165D8" w:rsidRDefault="004165D8" w:rsidP="004165D8">
      <w:pPr>
        <w:spacing w:after="0"/>
        <w:rPr>
          <w:rFonts w:eastAsiaTheme="minorHAnsi" w:cs="Arial"/>
          <w:color w:val="auto"/>
          <w:sz w:val="22"/>
          <w:szCs w:val="22"/>
          <w:lang w:eastAsia="en-US"/>
        </w:rPr>
      </w:pPr>
      <w:r w:rsidRPr="004165D8">
        <w:rPr>
          <w:rFonts w:eastAsiaTheme="minorHAnsi" w:cs="Arial"/>
          <w:color w:val="auto"/>
          <w:sz w:val="22"/>
          <w:szCs w:val="22"/>
          <w:lang w:eastAsia="en-US"/>
        </w:rPr>
        <w:t>We also know that more support is now being offered to those individuals that enter Bullingdon as homeless. Before the introduction of the embedded workers, almost 9 out of 10 prisoners that entered Bullingdon NFA would leave prison with the same accommodation status. The data we receive from the resettlement team clearly indicates that more is being done on entry to highlight those individuals that are NFA and who therefore require tailored support to resolve their homelessness. Consequently the number has been reduced to 6 out of 10 individuals still leaving NFA post the introduction the embedded workers.</w:t>
      </w:r>
    </w:p>
    <w:p w:rsidR="004165D8" w:rsidRPr="004165D8" w:rsidRDefault="004165D8" w:rsidP="004165D8">
      <w:pPr>
        <w:spacing w:after="0"/>
        <w:rPr>
          <w:rFonts w:eastAsiaTheme="minorHAnsi" w:cs="Arial"/>
          <w:color w:val="auto"/>
          <w:sz w:val="22"/>
          <w:szCs w:val="22"/>
          <w:lang w:eastAsia="en-US"/>
        </w:rPr>
      </w:pPr>
    </w:p>
    <w:p w:rsidR="004165D8" w:rsidRPr="004165D8" w:rsidRDefault="004165D8" w:rsidP="004165D8">
      <w:pPr>
        <w:tabs>
          <w:tab w:val="left" w:pos="3030"/>
        </w:tabs>
        <w:spacing w:after="0"/>
        <w:rPr>
          <w:rFonts w:eastAsiaTheme="minorHAnsi" w:cs="Arial"/>
          <w:color w:val="auto"/>
          <w:sz w:val="22"/>
          <w:szCs w:val="22"/>
          <w:u w:val="single"/>
          <w:lang w:eastAsia="en-US"/>
        </w:rPr>
      </w:pPr>
      <w:r w:rsidRPr="004165D8">
        <w:rPr>
          <w:rFonts w:eastAsiaTheme="minorHAnsi" w:cs="Arial"/>
          <w:color w:val="auto"/>
          <w:sz w:val="22"/>
          <w:szCs w:val="22"/>
          <w:u w:val="single"/>
          <w:lang w:eastAsia="en-US"/>
        </w:rPr>
        <w:lastRenderedPageBreak/>
        <w:t>Delayed Transfer of Care (DTOC)</w:t>
      </w:r>
    </w:p>
    <w:p w:rsidR="004165D8" w:rsidRPr="004165D8" w:rsidRDefault="004165D8" w:rsidP="004165D8">
      <w:pPr>
        <w:tabs>
          <w:tab w:val="left" w:pos="3030"/>
        </w:tabs>
        <w:spacing w:after="0"/>
        <w:rPr>
          <w:rFonts w:eastAsiaTheme="minorHAnsi" w:cs="Arial"/>
          <w:color w:val="auto"/>
          <w:sz w:val="22"/>
          <w:szCs w:val="22"/>
          <w:u w:val="single"/>
          <w:lang w:eastAsia="en-US"/>
        </w:rPr>
      </w:pPr>
    </w:p>
    <w:p w:rsidR="004165D8" w:rsidRPr="004165D8" w:rsidRDefault="004165D8" w:rsidP="004165D8">
      <w:pPr>
        <w:tabs>
          <w:tab w:val="left" w:pos="3030"/>
        </w:tabs>
        <w:spacing w:after="0"/>
        <w:rPr>
          <w:rFonts w:eastAsiaTheme="minorHAnsi" w:cs="Arial"/>
          <w:color w:val="auto"/>
          <w:sz w:val="22"/>
          <w:szCs w:val="22"/>
          <w:lang w:eastAsia="en-US"/>
        </w:rPr>
      </w:pPr>
      <w:r w:rsidRPr="004165D8">
        <w:rPr>
          <w:rFonts w:eastAsiaTheme="minorHAnsi" w:cs="Arial"/>
          <w:color w:val="auto"/>
          <w:sz w:val="22"/>
          <w:szCs w:val="22"/>
          <w:lang w:eastAsia="en-US"/>
        </w:rPr>
        <w:t>The DTOC data has been obtained from the Oxfordshire Clinical Commissioning Group (CCG) and highlights the amount of DTOC that has taken place over the past 2 years as a result of a known housing and homelessness issue.</w:t>
      </w:r>
    </w:p>
    <w:p w:rsidR="004165D8" w:rsidRPr="004165D8" w:rsidRDefault="004165D8" w:rsidP="004165D8">
      <w:pPr>
        <w:tabs>
          <w:tab w:val="left" w:pos="3030"/>
        </w:tabs>
        <w:spacing w:after="0"/>
        <w:rPr>
          <w:rFonts w:eastAsiaTheme="minorHAnsi" w:cs="Arial"/>
          <w:color w:val="auto"/>
          <w:sz w:val="22"/>
          <w:szCs w:val="22"/>
          <w:lang w:eastAsia="en-US"/>
        </w:rPr>
      </w:pPr>
    </w:p>
    <w:p w:rsidR="004165D8" w:rsidRPr="004165D8" w:rsidRDefault="004165D8" w:rsidP="004165D8">
      <w:pPr>
        <w:tabs>
          <w:tab w:val="left" w:pos="3030"/>
        </w:tabs>
        <w:spacing w:after="0"/>
        <w:rPr>
          <w:rFonts w:eastAsiaTheme="minorHAnsi" w:cs="Arial"/>
          <w:color w:val="auto"/>
          <w:sz w:val="22"/>
          <w:szCs w:val="22"/>
          <w:lang w:eastAsia="en-US"/>
        </w:rPr>
      </w:pPr>
      <w:r w:rsidRPr="004165D8">
        <w:rPr>
          <w:rFonts w:eastAsiaTheme="minorHAnsi" w:cs="Arial"/>
          <w:color w:val="auto"/>
          <w:sz w:val="22"/>
          <w:szCs w:val="22"/>
          <w:lang w:eastAsia="en-US"/>
        </w:rPr>
        <w:t xml:space="preserve">That data has been split between the two NHS trusts in Oxfordshire to highlight the varying degrees of impact. Overall we have seen 26 fewer DTOC cases where ‘housing’ has been given as a reason for delay when compared to the year before Trailblazer. This accounts for 944 fewer days of DTOC since the introduction of the EHWs. </w:t>
      </w:r>
    </w:p>
    <w:p w:rsidR="004165D8" w:rsidRPr="004165D8" w:rsidRDefault="004165D8" w:rsidP="004165D8">
      <w:pPr>
        <w:tabs>
          <w:tab w:val="left" w:pos="3030"/>
        </w:tabs>
        <w:spacing w:after="0"/>
        <w:rPr>
          <w:rFonts w:eastAsiaTheme="minorHAnsi" w:cs="Arial"/>
          <w:color w:val="auto"/>
          <w:sz w:val="22"/>
          <w:szCs w:val="22"/>
          <w:lang w:eastAsia="en-US"/>
        </w:rPr>
      </w:pPr>
    </w:p>
    <w:p w:rsidR="004165D8" w:rsidRPr="004165D8" w:rsidRDefault="004165D8" w:rsidP="004165D8">
      <w:pPr>
        <w:tabs>
          <w:tab w:val="left" w:pos="3030"/>
        </w:tabs>
        <w:spacing w:after="0"/>
        <w:rPr>
          <w:rFonts w:eastAsiaTheme="minorHAnsi" w:cs="Arial"/>
          <w:color w:val="auto"/>
          <w:sz w:val="22"/>
          <w:szCs w:val="22"/>
          <w:lang w:eastAsia="en-US"/>
        </w:rPr>
      </w:pPr>
      <w:r w:rsidRPr="004165D8">
        <w:rPr>
          <w:rFonts w:eastAsiaTheme="minorHAnsi" w:cs="Arial"/>
          <w:color w:val="auto"/>
          <w:sz w:val="22"/>
          <w:szCs w:val="22"/>
          <w:lang w:eastAsia="en-US"/>
        </w:rPr>
        <w:t>There has also been a significant reduction in the use of hub beds for DTOC patients with housing issues. There has been a big drive across both trusts to reduce the use of hub beds, particularly in instances where there was no plan for move on (not a Trailblazer initiative). In 2017/18 the average hub bed stay for an individual where housing has been given as a DTOC reason was 62 days. In 2018/19 this was reduced to 29 days.</w:t>
      </w:r>
    </w:p>
    <w:p w:rsidR="004165D8" w:rsidRPr="004165D8" w:rsidRDefault="004165D8" w:rsidP="004165D8">
      <w:pPr>
        <w:tabs>
          <w:tab w:val="left" w:pos="3030"/>
        </w:tabs>
        <w:spacing w:after="0"/>
        <w:rPr>
          <w:rFonts w:eastAsiaTheme="minorHAnsi" w:cs="Arial"/>
          <w:color w:val="auto"/>
          <w:sz w:val="22"/>
          <w:szCs w:val="22"/>
          <w:lang w:eastAsia="en-US"/>
        </w:rPr>
      </w:pPr>
    </w:p>
    <w:p w:rsidR="004165D8" w:rsidRPr="004165D8" w:rsidRDefault="004165D8" w:rsidP="004165D8">
      <w:pPr>
        <w:tabs>
          <w:tab w:val="left" w:pos="3030"/>
        </w:tabs>
        <w:spacing w:after="0"/>
        <w:rPr>
          <w:rFonts w:eastAsiaTheme="minorHAnsi" w:cs="Arial"/>
          <w:b/>
          <w:color w:val="auto"/>
          <w:sz w:val="22"/>
          <w:szCs w:val="22"/>
          <w:lang w:eastAsia="en-US"/>
        </w:rPr>
      </w:pPr>
      <w:r w:rsidRPr="004165D8">
        <w:rPr>
          <w:rFonts w:eastAsiaTheme="minorHAnsi" w:cs="Arial"/>
          <w:b/>
          <w:color w:val="auto"/>
          <w:sz w:val="22"/>
          <w:szCs w:val="22"/>
          <w:lang w:eastAsia="en-US"/>
        </w:rPr>
        <w:t>Oxford University Hospitals NHS Trust</w:t>
      </w:r>
    </w:p>
    <w:p w:rsidR="004165D8" w:rsidRPr="004165D8" w:rsidRDefault="004165D8" w:rsidP="004165D8">
      <w:pPr>
        <w:tabs>
          <w:tab w:val="left" w:pos="3030"/>
        </w:tabs>
        <w:spacing w:after="0"/>
        <w:rPr>
          <w:rFonts w:eastAsiaTheme="minorHAnsi" w:cs="Arial"/>
          <w:color w:val="auto"/>
          <w:sz w:val="22"/>
          <w:szCs w:val="22"/>
          <w:lang w:eastAsia="en-US"/>
        </w:rPr>
      </w:pPr>
    </w:p>
    <w:tbl>
      <w:tblPr>
        <w:tblW w:w="9087" w:type="dxa"/>
        <w:tblInd w:w="93" w:type="dxa"/>
        <w:tblLayout w:type="fixed"/>
        <w:tblLook w:val="04A0" w:firstRow="1" w:lastRow="0" w:firstColumn="1" w:lastColumn="0" w:noHBand="0" w:noVBand="1"/>
      </w:tblPr>
      <w:tblGrid>
        <w:gridCol w:w="3134"/>
        <w:gridCol w:w="1488"/>
        <w:gridCol w:w="1488"/>
        <w:gridCol w:w="1488"/>
        <w:gridCol w:w="1489"/>
      </w:tblGrid>
      <w:tr w:rsidR="004165D8" w:rsidRPr="004165D8" w:rsidTr="004165D8">
        <w:trPr>
          <w:trHeight w:val="300"/>
        </w:trPr>
        <w:tc>
          <w:tcPr>
            <w:tcW w:w="3134" w:type="dxa"/>
            <w:tcBorders>
              <w:top w:val="single" w:sz="4" w:space="0" w:color="auto"/>
              <w:left w:val="single" w:sz="4" w:space="0" w:color="auto"/>
              <w:bottom w:val="single" w:sz="4" w:space="0" w:color="auto"/>
              <w:right w:val="single" w:sz="4" w:space="0" w:color="auto"/>
            </w:tcBorders>
            <w:shd w:val="clear" w:color="000000" w:fill="92CDDC"/>
            <w:noWrap/>
            <w:vAlign w:val="center"/>
            <w:hideMark/>
          </w:tcPr>
          <w:p w:rsidR="004165D8" w:rsidRPr="004165D8" w:rsidRDefault="004165D8" w:rsidP="004165D8">
            <w:pPr>
              <w:spacing w:after="0"/>
              <w:rPr>
                <w:rFonts w:cs="Arial"/>
                <w:sz w:val="22"/>
                <w:szCs w:val="22"/>
              </w:rPr>
            </w:pPr>
            <w:r w:rsidRPr="004165D8">
              <w:rPr>
                <w:rFonts w:cs="Arial"/>
                <w:sz w:val="22"/>
                <w:szCs w:val="22"/>
              </w:rPr>
              <w:t>2017/18</w:t>
            </w:r>
          </w:p>
        </w:tc>
        <w:tc>
          <w:tcPr>
            <w:tcW w:w="1488" w:type="dxa"/>
            <w:tcBorders>
              <w:top w:val="single" w:sz="4" w:space="0" w:color="auto"/>
              <w:left w:val="nil"/>
              <w:bottom w:val="single" w:sz="4" w:space="0" w:color="auto"/>
              <w:right w:val="single" w:sz="4" w:space="0" w:color="auto"/>
            </w:tcBorders>
            <w:shd w:val="clear" w:color="000000" w:fill="92CDDC"/>
            <w:noWrap/>
            <w:vAlign w:val="center"/>
            <w:hideMark/>
          </w:tcPr>
          <w:p w:rsidR="004165D8" w:rsidRPr="004165D8" w:rsidRDefault="004165D8" w:rsidP="004165D8">
            <w:pPr>
              <w:spacing w:after="0"/>
              <w:jc w:val="right"/>
              <w:rPr>
                <w:rFonts w:cs="Arial"/>
                <w:sz w:val="22"/>
                <w:szCs w:val="22"/>
              </w:rPr>
            </w:pPr>
            <w:r w:rsidRPr="004165D8">
              <w:rPr>
                <w:rFonts w:cs="Arial"/>
                <w:sz w:val="22"/>
                <w:szCs w:val="22"/>
              </w:rPr>
              <w:t>Number of Cases</w:t>
            </w:r>
          </w:p>
        </w:tc>
        <w:tc>
          <w:tcPr>
            <w:tcW w:w="1488" w:type="dxa"/>
            <w:tcBorders>
              <w:top w:val="single" w:sz="4" w:space="0" w:color="auto"/>
              <w:left w:val="nil"/>
              <w:bottom w:val="single" w:sz="4" w:space="0" w:color="auto"/>
              <w:right w:val="single" w:sz="4" w:space="0" w:color="auto"/>
            </w:tcBorders>
            <w:shd w:val="clear" w:color="000000" w:fill="92CDDC"/>
            <w:noWrap/>
            <w:vAlign w:val="center"/>
            <w:hideMark/>
          </w:tcPr>
          <w:p w:rsidR="004165D8" w:rsidRPr="004165D8" w:rsidRDefault="004165D8" w:rsidP="004165D8">
            <w:pPr>
              <w:spacing w:after="0"/>
              <w:jc w:val="right"/>
              <w:rPr>
                <w:rFonts w:cs="Arial"/>
                <w:sz w:val="22"/>
                <w:szCs w:val="22"/>
              </w:rPr>
            </w:pPr>
            <w:r w:rsidRPr="004165D8">
              <w:rPr>
                <w:rFonts w:cs="Arial"/>
                <w:sz w:val="22"/>
                <w:szCs w:val="22"/>
              </w:rPr>
              <w:t>Total DTOC Days</w:t>
            </w:r>
          </w:p>
        </w:tc>
        <w:tc>
          <w:tcPr>
            <w:tcW w:w="1488" w:type="dxa"/>
            <w:tcBorders>
              <w:top w:val="single" w:sz="4" w:space="0" w:color="auto"/>
              <w:left w:val="nil"/>
              <w:bottom w:val="single" w:sz="4" w:space="0" w:color="auto"/>
              <w:right w:val="single" w:sz="4" w:space="0" w:color="auto"/>
            </w:tcBorders>
            <w:shd w:val="clear" w:color="000000" w:fill="92CDDC"/>
            <w:noWrap/>
            <w:vAlign w:val="center"/>
            <w:hideMark/>
          </w:tcPr>
          <w:p w:rsidR="004165D8" w:rsidRPr="004165D8" w:rsidRDefault="004165D8" w:rsidP="004165D8">
            <w:pPr>
              <w:spacing w:after="0"/>
              <w:jc w:val="right"/>
              <w:rPr>
                <w:rFonts w:cs="Arial"/>
                <w:sz w:val="22"/>
                <w:szCs w:val="22"/>
              </w:rPr>
            </w:pPr>
            <w:r w:rsidRPr="004165D8">
              <w:rPr>
                <w:rFonts w:cs="Arial"/>
                <w:sz w:val="22"/>
                <w:szCs w:val="22"/>
              </w:rPr>
              <w:t>Hub Bed Days</w:t>
            </w:r>
          </w:p>
        </w:tc>
        <w:tc>
          <w:tcPr>
            <w:tcW w:w="1489" w:type="dxa"/>
            <w:tcBorders>
              <w:top w:val="single" w:sz="4" w:space="0" w:color="auto"/>
              <w:left w:val="nil"/>
              <w:bottom w:val="single" w:sz="4" w:space="0" w:color="auto"/>
              <w:right w:val="single" w:sz="4" w:space="0" w:color="auto"/>
            </w:tcBorders>
            <w:shd w:val="clear" w:color="000000" w:fill="92CDDC"/>
            <w:noWrap/>
            <w:vAlign w:val="center"/>
            <w:hideMark/>
          </w:tcPr>
          <w:p w:rsidR="004165D8" w:rsidRPr="004165D8" w:rsidRDefault="004165D8" w:rsidP="004165D8">
            <w:pPr>
              <w:spacing w:after="0"/>
              <w:jc w:val="right"/>
              <w:rPr>
                <w:rFonts w:cs="Arial"/>
                <w:sz w:val="22"/>
                <w:szCs w:val="22"/>
              </w:rPr>
            </w:pPr>
            <w:r w:rsidRPr="004165D8">
              <w:rPr>
                <w:rFonts w:cs="Arial"/>
                <w:sz w:val="22"/>
                <w:szCs w:val="22"/>
              </w:rPr>
              <w:t>Average Delay</w:t>
            </w:r>
          </w:p>
        </w:tc>
      </w:tr>
      <w:tr w:rsidR="004165D8" w:rsidRPr="004165D8" w:rsidTr="004165D8">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4165D8" w:rsidRPr="004165D8" w:rsidRDefault="004165D8" w:rsidP="004165D8">
            <w:pPr>
              <w:spacing w:after="0"/>
              <w:rPr>
                <w:rFonts w:cs="Arial"/>
                <w:sz w:val="22"/>
                <w:szCs w:val="22"/>
              </w:rPr>
            </w:pPr>
            <w:r w:rsidRPr="004165D8">
              <w:rPr>
                <w:rFonts w:cs="Arial"/>
                <w:sz w:val="22"/>
                <w:szCs w:val="22"/>
              </w:rPr>
              <w:t>Housing only</w:t>
            </w:r>
          </w:p>
        </w:tc>
        <w:tc>
          <w:tcPr>
            <w:tcW w:w="1488" w:type="dxa"/>
            <w:tcBorders>
              <w:top w:val="nil"/>
              <w:left w:val="nil"/>
              <w:bottom w:val="single" w:sz="4" w:space="0" w:color="auto"/>
              <w:right w:val="single" w:sz="4" w:space="0" w:color="auto"/>
            </w:tcBorders>
            <w:shd w:val="clear" w:color="auto" w:fill="auto"/>
            <w:noWrap/>
            <w:vAlign w:val="bottom"/>
            <w:hideMark/>
          </w:tcPr>
          <w:p w:rsidR="004165D8" w:rsidRPr="004165D8" w:rsidRDefault="004165D8" w:rsidP="004165D8">
            <w:pPr>
              <w:spacing w:after="0"/>
              <w:jc w:val="right"/>
              <w:rPr>
                <w:rFonts w:cs="Arial"/>
                <w:sz w:val="22"/>
                <w:szCs w:val="22"/>
              </w:rPr>
            </w:pPr>
            <w:r w:rsidRPr="004165D8">
              <w:rPr>
                <w:rFonts w:cs="Arial"/>
                <w:sz w:val="22"/>
                <w:szCs w:val="22"/>
              </w:rPr>
              <w:t>18</w:t>
            </w:r>
          </w:p>
        </w:tc>
        <w:tc>
          <w:tcPr>
            <w:tcW w:w="1488" w:type="dxa"/>
            <w:tcBorders>
              <w:top w:val="nil"/>
              <w:left w:val="nil"/>
              <w:bottom w:val="single" w:sz="4" w:space="0" w:color="auto"/>
              <w:right w:val="single" w:sz="4" w:space="0" w:color="auto"/>
            </w:tcBorders>
            <w:shd w:val="clear" w:color="auto" w:fill="auto"/>
            <w:noWrap/>
            <w:vAlign w:val="bottom"/>
            <w:hideMark/>
          </w:tcPr>
          <w:p w:rsidR="004165D8" w:rsidRPr="004165D8" w:rsidRDefault="004165D8" w:rsidP="004165D8">
            <w:pPr>
              <w:spacing w:after="0"/>
              <w:jc w:val="right"/>
              <w:rPr>
                <w:rFonts w:cs="Arial"/>
                <w:sz w:val="22"/>
                <w:szCs w:val="22"/>
              </w:rPr>
            </w:pPr>
            <w:r w:rsidRPr="004165D8">
              <w:rPr>
                <w:rFonts w:cs="Arial"/>
                <w:sz w:val="22"/>
                <w:szCs w:val="22"/>
              </w:rPr>
              <w:t>432</w:t>
            </w:r>
          </w:p>
        </w:tc>
        <w:tc>
          <w:tcPr>
            <w:tcW w:w="1488" w:type="dxa"/>
            <w:tcBorders>
              <w:top w:val="nil"/>
              <w:left w:val="nil"/>
              <w:bottom w:val="single" w:sz="4" w:space="0" w:color="auto"/>
              <w:right w:val="single" w:sz="4" w:space="0" w:color="auto"/>
            </w:tcBorders>
            <w:shd w:val="clear" w:color="auto" w:fill="auto"/>
            <w:noWrap/>
            <w:vAlign w:val="bottom"/>
            <w:hideMark/>
          </w:tcPr>
          <w:p w:rsidR="004165D8" w:rsidRPr="004165D8" w:rsidRDefault="004165D8" w:rsidP="004165D8">
            <w:pPr>
              <w:spacing w:after="0"/>
              <w:jc w:val="right"/>
              <w:rPr>
                <w:rFonts w:cs="Arial"/>
                <w:sz w:val="22"/>
                <w:szCs w:val="22"/>
              </w:rPr>
            </w:pPr>
            <w:r w:rsidRPr="004165D8">
              <w:rPr>
                <w:rFonts w:cs="Arial"/>
                <w:sz w:val="22"/>
                <w:szCs w:val="22"/>
              </w:rPr>
              <w:t>0</w:t>
            </w:r>
          </w:p>
        </w:tc>
        <w:tc>
          <w:tcPr>
            <w:tcW w:w="1489" w:type="dxa"/>
            <w:tcBorders>
              <w:top w:val="nil"/>
              <w:left w:val="nil"/>
              <w:bottom w:val="single" w:sz="4" w:space="0" w:color="auto"/>
              <w:right w:val="single" w:sz="4" w:space="0" w:color="auto"/>
            </w:tcBorders>
            <w:shd w:val="clear" w:color="auto" w:fill="auto"/>
            <w:noWrap/>
            <w:vAlign w:val="bottom"/>
            <w:hideMark/>
          </w:tcPr>
          <w:p w:rsidR="004165D8" w:rsidRPr="004165D8" w:rsidRDefault="004165D8" w:rsidP="004165D8">
            <w:pPr>
              <w:spacing w:after="0"/>
              <w:jc w:val="right"/>
              <w:rPr>
                <w:rFonts w:cs="Arial"/>
                <w:sz w:val="22"/>
                <w:szCs w:val="22"/>
              </w:rPr>
            </w:pPr>
            <w:r w:rsidRPr="004165D8">
              <w:rPr>
                <w:rFonts w:cs="Arial"/>
                <w:sz w:val="22"/>
                <w:szCs w:val="22"/>
              </w:rPr>
              <w:t>24.00</w:t>
            </w:r>
          </w:p>
        </w:tc>
      </w:tr>
      <w:tr w:rsidR="004165D8" w:rsidRPr="004165D8" w:rsidTr="004165D8">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4165D8" w:rsidRPr="004165D8" w:rsidRDefault="004165D8" w:rsidP="004165D8">
            <w:pPr>
              <w:spacing w:after="0"/>
              <w:rPr>
                <w:rFonts w:cs="Arial"/>
                <w:sz w:val="22"/>
                <w:szCs w:val="22"/>
              </w:rPr>
            </w:pPr>
            <w:r w:rsidRPr="004165D8">
              <w:rPr>
                <w:rFonts w:cs="Arial"/>
                <w:sz w:val="22"/>
                <w:szCs w:val="22"/>
              </w:rPr>
              <w:t>Housing (</w:t>
            </w:r>
            <w:proofErr w:type="spellStart"/>
            <w:r w:rsidRPr="004165D8">
              <w:rPr>
                <w:rFonts w:cs="Arial"/>
                <w:sz w:val="22"/>
                <w:szCs w:val="22"/>
              </w:rPr>
              <w:t>inc</w:t>
            </w:r>
            <w:proofErr w:type="spellEnd"/>
            <w:r w:rsidRPr="004165D8">
              <w:rPr>
                <w:rFonts w:cs="Arial"/>
                <w:sz w:val="22"/>
                <w:szCs w:val="22"/>
              </w:rPr>
              <w:t xml:space="preserve"> Hub)</w:t>
            </w:r>
          </w:p>
        </w:tc>
        <w:tc>
          <w:tcPr>
            <w:tcW w:w="1488" w:type="dxa"/>
            <w:tcBorders>
              <w:top w:val="nil"/>
              <w:left w:val="nil"/>
              <w:bottom w:val="single" w:sz="4" w:space="0" w:color="auto"/>
              <w:right w:val="single" w:sz="4" w:space="0" w:color="auto"/>
            </w:tcBorders>
            <w:shd w:val="clear" w:color="auto" w:fill="auto"/>
            <w:noWrap/>
            <w:vAlign w:val="bottom"/>
            <w:hideMark/>
          </w:tcPr>
          <w:p w:rsidR="004165D8" w:rsidRPr="004165D8" w:rsidRDefault="004165D8" w:rsidP="004165D8">
            <w:pPr>
              <w:spacing w:after="0"/>
              <w:jc w:val="right"/>
              <w:rPr>
                <w:rFonts w:cs="Arial"/>
                <w:sz w:val="22"/>
                <w:szCs w:val="22"/>
              </w:rPr>
            </w:pPr>
            <w:r w:rsidRPr="004165D8">
              <w:rPr>
                <w:rFonts w:cs="Arial"/>
                <w:sz w:val="22"/>
                <w:szCs w:val="22"/>
              </w:rPr>
              <w:t>10</w:t>
            </w:r>
          </w:p>
        </w:tc>
        <w:tc>
          <w:tcPr>
            <w:tcW w:w="1488" w:type="dxa"/>
            <w:tcBorders>
              <w:top w:val="nil"/>
              <w:left w:val="nil"/>
              <w:bottom w:val="single" w:sz="4" w:space="0" w:color="auto"/>
              <w:right w:val="single" w:sz="4" w:space="0" w:color="auto"/>
            </w:tcBorders>
            <w:shd w:val="clear" w:color="auto" w:fill="auto"/>
            <w:noWrap/>
            <w:vAlign w:val="bottom"/>
            <w:hideMark/>
          </w:tcPr>
          <w:p w:rsidR="004165D8" w:rsidRPr="004165D8" w:rsidRDefault="004165D8" w:rsidP="004165D8">
            <w:pPr>
              <w:spacing w:after="0"/>
              <w:jc w:val="right"/>
              <w:rPr>
                <w:rFonts w:cs="Arial"/>
                <w:sz w:val="22"/>
                <w:szCs w:val="22"/>
              </w:rPr>
            </w:pPr>
            <w:r w:rsidRPr="004165D8">
              <w:rPr>
                <w:rFonts w:cs="Arial"/>
                <w:sz w:val="22"/>
                <w:szCs w:val="22"/>
              </w:rPr>
              <w:t>95</w:t>
            </w:r>
          </w:p>
        </w:tc>
        <w:tc>
          <w:tcPr>
            <w:tcW w:w="1488" w:type="dxa"/>
            <w:tcBorders>
              <w:top w:val="nil"/>
              <w:left w:val="nil"/>
              <w:bottom w:val="single" w:sz="4" w:space="0" w:color="auto"/>
              <w:right w:val="single" w:sz="4" w:space="0" w:color="auto"/>
            </w:tcBorders>
            <w:shd w:val="clear" w:color="auto" w:fill="auto"/>
            <w:noWrap/>
            <w:vAlign w:val="bottom"/>
            <w:hideMark/>
          </w:tcPr>
          <w:p w:rsidR="004165D8" w:rsidRPr="004165D8" w:rsidRDefault="004165D8" w:rsidP="004165D8">
            <w:pPr>
              <w:spacing w:after="0"/>
              <w:jc w:val="right"/>
              <w:rPr>
                <w:rFonts w:cs="Arial"/>
                <w:sz w:val="22"/>
                <w:szCs w:val="22"/>
              </w:rPr>
            </w:pPr>
            <w:r w:rsidRPr="004165D8">
              <w:rPr>
                <w:rFonts w:cs="Arial"/>
                <w:sz w:val="22"/>
                <w:szCs w:val="22"/>
              </w:rPr>
              <w:t>607</w:t>
            </w:r>
          </w:p>
        </w:tc>
        <w:tc>
          <w:tcPr>
            <w:tcW w:w="1489" w:type="dxa"/>
            <w:tcBorders>
              <w:top w:val="nil"/>
              <w:left w:val="nil"/>
              <w:bottom w:val="single" w:sz="4" w:space="0" w:color="auto"/>
              <w:right w:val="single" w:sz="4" w:space="0" w:color="auto"/>
            </w:tcBorders>
            <w:shd w:val="clear" w:color="auto" w:fill="auto"/>
            <w:noWrap/>
            <w:vAlign w:val="bottom"/>
            <w:hideMark/>
          </w:tcPr>
          <w:p w:rsidR="004165D8" w:rsidRPr="004165D8" w:rsidRDefault="004165D8" w:rsidP="004165D8">
            <w:pPr>
              <w:spacing w:after="0"/>
              <w:jc w:val="right"/>
              <w:rPr>
                <w:rFonts w:cs="Arial"/>
                <w:sz w:val="22"/>
                <w:szCs w:val="22"/>
              </w:rPr>
            </w:pPr>
            <w:r w:rsidRPr="004165D8">
              <w:rPr>
                <w:rFonts w:cs="Arial"/>
                <w:sz w:val="22"/>
                <w:szCs w:val="22"/>
              </w:rPr>
              <w:t>70.20</w:t>
            </w:r>
          </w:p>
        </w:tc>
      </w:tr>
      <w:tr w:rsidR="004165D8" w:rsidRPr="004165D8" w:rsidTr="004165D8">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4165D8" w:rsidRPr="004165D8" w:rsidRDefault="004165D8" w:rsidP="004165D8">
            <w:pPr>
              <w:spacing w:after="0"/>
              <w:rPr>
                <w:rFonts w:cs="Arial"/>
                <w:sz w:val="22"/>
                <w:szCs w:val="22"/>
              </w:rPr>
            </w:pPr>
            <w:r w:rsidRPr="004165D8">
              <w:rPr>
                <w:rFonts w:cs="Arial"/>
                <w:sz w:val="22"/>
                <w:szCs w:val="22"/>
              </w:rPr>
              <w:t>Multiple Reasons</w:t>
            </w:r>
          </w:p>
        </w:tc>
        <w:tc>
          <w:tcPr>
            <w:tcW w:w="1488" w:type="dxa"/>
            <w:tcBorders>
              <w:top w:val="nil"/>
              <w:left w:val="nil"/>
              <w:bottom w:val="single" w:sz="4" w:space="0" w:color="auto"/>
              <w:right w:val="single" w:sz="4" w:space="0" w:color="auto"/>
            </w:tcBorders>
            <w:shd w:val="clear" w:color="auto" w:fill="auto"/>
            <w:noWrap/>
            <w:vAlign w:val="bottom"/>
            <w:hideMark/>
          </w:tcPr>
          <w:p w:rsidR="004165D8" w:rsidRPr="004165D8" w:rsidRDefault="004165D8" w:rsidP="004165D8">
            <w:pPr>
              <w:spacing w:after="0"/>
              <w:jc w:val="right"/>
              <w:rPr>
                <w:rFonts w:cs="Arial"/>
                <w:sz w:val="22"/>
                <w:szCs w:val="22"/>
              </w:rPr>
            </w:pPr>
            <w:r w:rsidRPr="004165D8">
              <w:rPr>
                <w:rFonts w:cs="Arial"/>
                <w:sz w:val="22"/>
                <w:szCs w:val="22"/>
              </w:rPr>
              <w:t>14</w:t>
            </w:r>
          </w:p>
        </w:tc>
        <w:tc>
          <w:tcPr>
            <w:tcW w:w="1488" w:type="dxa"/>
            <w:tcBorders>
              <w:top w:val="nil"/>
              <w:left w:val="nil"/>
              <w:bottom w:val="single" w:sz="4" w:space="0" w:color="auto"/>
              <w:right w:val="single" w:sz="4" w:space="0" w:color="auto"/>
            </w:tcBorders>
            <w:shd w:val="clear" w:color="auto" w:fill="auto"/>
            <w:noWrap/>
            <w:vAlign w:val="bottom"/>
            <w:hideMark/>
          </w:tcPr>
          <w:p w:rsidR="004165D8" w:rsidRPr="004165D8" w:rsidRDefault="004165D8" w:rsidP="004165D8">
            <w:pPr>
              <w:spacing w:after="0"/>
              <w:jc w:val="right"/>
              <w:rPr>
                <w:rFonts w:cs="Arial"/>
                <w:sz w:val="22"/>
                <w:szCs w:val="22"/>
              </w:rPr>
            </w:pPr>
            <w:r w:rsidRPr="004165D8">
              <w:rPr>
                <w:rFonts w:cs="Arial"/>
                <w:sz w:val="22"/>
                <w:szCs w:val="22"/>
              </w:rPr>
              <w:t>485</w:t>
            </w:r>
          </w:p>
        </w:tc>
        <w:tc>
          <w:tcPr>
            <w:tcW w:w="1488" w:type="dxa"/>
            <w:tcBorders>
              <w:top w:val="nil"/>
              <w:left w:val="nil"/>
              <w:bottom w:val="single" w:sz="4" w:space="0" w:color="auto"/>
              <w:right w:val="single" w:sz="4" w:space="0" w:color="auto"/>
            </w:tcBorders>
            <w:shd w:val="clear" w:color="auto" w:fill="auto"/>
            <w:noWrap/>
            <w:vAlign w:val="bottom"/>
            <w:hideMark/>
          </w:tcPr>
          <w:p w:rsidR="004165D8" w:rsidRPr="004165D8" w:rsidRDefault="004165D8" w:rsidP="004165D8">
            <w:pPr>
              <w:spacing w:after="0"/>
              <w:jc w:val="right"/>
              <w:rPr>
                <w:rFonts w:cs="Arial"/>
                <w:sz w:val="22"/>
                <w:szCs w:val="22"/>
              </w:rPr>
            </w:pPr>
            <w:r w:rsidRPr="004165D8">
              <w:rPr>
                <w:rFonts w:cs="Arial"/>
                <w:sz w:val="22"/>
                <w:szCs w:val="22"/>
              </w:rPr>
              <w:t>0</w:t>
            </w:r>
          </w:p>
        </w:tc>
        <w:tc>
          <w:tcPr>
            <w:tcW w:w="1489" w:type="dxa"/>
            <w:tcBorders>
              <w:top w:val="nil"/>
              <w:left w:val="nil"/>
              <w:bottom w:val="single" w:sz="4" w:space="0" w:color="auto"/>
              <w:right w:val="single" w:sz="4" w:space="0" w:color="auto"/>
            </w:tcBorders>
            <w:shd w:val="clear" w:color="auto" w:fill="auto"/>
            <w:noWrap/>
            <w:vAlign w:val="bottom"/>
            <w:hideMark/>
          </w:tcPr>
          <w:p w:rsidR="004165D8" w:rsidRPr="004165D8" w:rsidRDefault="004165D8" w:rsidP="004165D8">
            <w:pPr>
              <w:spacing w:after="0"/>
              <w:jc w:val="right"/>
              <w:rPr>
                <w:rFonts w:cs="Arial"/>
                <w:sz w:val="22"/>
                <w:szCs w:val="22"/>
              </w:rPr>
            </w:pPr>
            <w:r w:rsidRPr="004165D8">
              <w:rPr>
                <w:rFonts w:cs="Arial"/>
                <w:sz w:val="22"/>
                <w:szCs w:val="22"/>
              </w:rPr>
              <w:t>34.64</w:t>
            </w:r>
          </w:p>
        </w:tc>
      </w:tr>
      <w:tr w:rsidR="004165D8" w:rsidRPr="004165D8" w:rsidTr="004165D8">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4165D8" w:rsidRPr="004165D8" w:rsidRDefault="004165D8" w:rsidP="004165D8">
            <w:pPr>
              <w:spacing w:after="0"/>
              <w:rPr>
                <w:rFonts w:cs="Arial"/>
                <w:sz w:val="22"/>
                <w:szCs w:val="22"/>
              </w:rPr>
            </w:pPr>
            <w:r w:rsidRPr="004165D8">
              <w:rPr>
                <w:rFonts w:cs="Arial"/>
                <w:sz w:val="22"/>
                <w:szCs w:val="22"/>
              </w:rPr>
              <w:t>Multiple (</w:t>
            </w:r>
            <w:proofErr w:type="spellStart"/>
            <w:r w:rsidRPr="004165D8">
              <w:rPr>
                <w:rFonts w:cs="Arial"/>
                <w:sz w:val="22"/>
                <w:szCs w:val="22"/>
              </w:rPr>
              <w:t>inc</w:t>
            </w:r>
            <w:proofErr w:type="spellEnd"/>
            <w:r w:rsidRPr="004165D8">
              <w:rPr>
                <w:rFonts w:cs="Arial"/>
                <w:sz w:val="22"/>
                <w:szCs w:val="22"/>
              </w:rPr>
              <w:t xml:space="preserve"> Hub)</w:t>
            </w:r>
          </w:p>
        </w:tc>
        <w:tc>
          <w:tcPr>
            <w:tcW w:w="1488" w:type="dxa"/>
            <w:tcBorders>
              <w:top w:val="nil"/>
              <w:left w:val="nil"/>
              <w:bottom w:val="single" w:sz="4" w:space="0" w:color="auto"/>
              <w:right w:val="single" w:sz="4" w:space="0" w:color="auto"/>
            </w:tcBorders>
            <w:shd w:val="clear" w:color="auto" w:fill="auto"/>
            <w:noWrap/>
            <w:vAlign w:val="bottom"/>
            <w:hideMark/>
          </w:tcPr>
          <w:p w:rsidR="004165D8" w:rsidRPr="004165D8" w:rsidRDefault="004165D8" w:rsidP="004165D8">
            <w:pPr>
              <w:spacing w:after="0"/>
              <w:jc w:val="right"/>
              <w:rPr>
                <w:rFonts w:cs="Arial"/>
                <w:sz w:val="22"/>
                <w:szCs w:val="22"/>
              </w:rPr>
            </w:pPr>
            <w:r w:rsidRPr="004165D8">
              <w:rPr>
                <w:rFonts w:cs="Arial"/>
                <w:sz w:val="22"/>
                <w:szCs w:val="22"/>
              </w:rPr>
              <w:t>3</w:t>
            </w:r>
          </w:p>
        </w:tc>
        <w:tc>
          <w:tcPr>
            <w:tcW w:w="1488" w:type="dxa"/>
            <w:tcBorders>
              <w:top w:val="nil"/>
              <w:left w:val="nil"/>
              <w:bottom w:val="single" w:sz="4" w:space="0" w:color="auto"/>
              <w:right w:val="single" w:sz="4" w:space="0" w:color="auto"/>
            </w:tcBorders>
            <w:shd w:val="clear" w:color="auto" w:fill="auto"/>
            <w:noWrap/>
            <w:vAlign w:val="bottom"/>
            <w:hideMark/>
          </w:tcPr>
          <w:p w:rsidR="004165D8" w:rsidRPr="004165D8" w:rsidRDefault="004165D8" w:rsidP="004165D8">
            <w:pPr>
              <w:spacing w:after="0"/>
              <w:jc w:val="right"/>
              <w:rPr>
                <w:rFonts w:cs="Arial"/>
                <w:sz w:val="22"/>
                <w:szCs w:val="22"/>
              </w:rPr>
            </w:pPr>
            <w:r w:rsidRPr="004165D8">
              <w:rPr>
                <w:rFonts w:cs="Arial"/>
                <w:sz w:val="22"/>
                <w:szCs w:val="22"/>
              </w:rPr>
              <w:t>139</w:t>
            </w:r>
          </w:p>
        </w:tc>
        <w:tc>
          <w:tcPr>
            <w:tcW w:w="1488" w:type="dxa"/>
            <w:tcBorders>
              <w:top w:val="nil"/>
              <w:left w:val="nil"/>
              <w:bottom w:val="single" w:sz="4" w:space="0" w:color="auto"/>
              <w:right w:val="single" w:sz="4" w:space="0" w:color="auto"/>
            </w:tcBorders>
            <w:shd w:val="clear" w:color="auto" w:fill="auto"/>
            <w:noWrap/>
            <w:vAlign w:val="bottom"/>
            <w:hideMark/>
          </w:tcPr>
          <w:p w:rsidR="004165D8" w:rsidRPr="004165D8" w:rsidRDefault="004165D8" w:rsidP="004165D8">
            <w:pPr>
              <w:spacing w:after="0"/>
              <w:jc w:val="right"/>
              <w:rPr>
                <w:rFonts w:cs="Arial"/>
                <w:sz w:val="22"/>
                <w:szCs w:val="22"/>
              </w:rPr>
            </w:pPr>
            <w:r w:rsidRPr="004165D8">
              <w:rPr>
                <w:rFonts w:cs="Arial"/>
                <w:sz w:val="22"/>
                <w:szCs w:val="22"/>
              </w:rPr>
              <w:t>207</w:t>
            </w:r>
          </w:p>
        </w:tc>
        <w:tc>
          <w:tcPr>
            <w:tcW w:w="1489" w:type="dxa"/>
            <w:tcBorders>
              <w:top w:val="nil"/>
              <w:left w:val="nil"/>
              <w:bottom w:val="single" w:sz="4" w:space="0" w:color="auto"/>
              <w:right w:val="single" w:sz="4" w:space="0" w:color="auto"/>
            </w:tcBorders>
            <w:shd w:val="clear" w:color="auto" w:fill="auto"/>
            <w:noWrap/>
            <w:vAlign w:val="bottom"/>
            <w:hideMark/>
          </w:tcPr>
          <w:p w:rsidR="004165D8" w:rsidRPr="004165D8" w:rsidRDefault="004165D8" w:rsidP="004165D8">
            <w:pPr>
              <w:spacing w:after="0"/>
              <w:jc w:val="right"/>
              <w:rPr>
                <w:rFonts w:cs="Arial"/>
                <w:sz w:val="22"/>
                <w:szCs w:val="22"/>
              </w:rPr>
            </w:pPr>
            <w:r w:rsidRPr="004165D8">
              <w:rPr>
                <w:rFonts w:cs="Arial"/>
                <w:sz w:val="22"/>
                <w:szCs w:val="22"/>
              </w:rPr>
              <w:t>115.33</w:t>
            </w:r>
          </w:p>
        </w:tc>
      </w:tr>
      <w:tr w:rsidR="004165D8" w:rsidRPr="004165D8" w:rsidTr="004165D8">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4165D8" w:rsidRPr="004165D8" w:rsidRDefault="004165D8" w:rsidP="004165D8">
            <w:pPr>
              <w:spacing w:after="0"/>
              <w:rPr>
                <w:rFonts w:cs="Arial"/>
                <w:b/>
                <w:bCs/>
                <w:sz w:val="22"/>
                <w:szCs w:val="22"/>
              </w:rPr>
            </w:pPr>
            <w:r w:rsidRPr="004165D8">
              <w:rPr>
                <w:rFonts w:cs="Arial"/>
                <w:b/>
                <w:bCs/>
                <w:sz w:val="22"/>
                <w:szCs w:val="22"/>
              </w:rPr>
              <w:t>TOTAL</w:t>
            </w:r>
          </w:p>
        </w:tc>
        <w:tc>
          <w:tcPr>
            <w:tcW w:w="1488" w:type="dxa"/>
            <w:tcBorders>
              <w:top w:val="nil"/>
              <w:left w:val="nil"/>
              <w:bottom w:val="single" w:sz="4" w:space="0" w:color="auto"/>
              <w:right w:val="single" w:sz="4" w:space="0" w:color="auto"/>
            </w:tcBorders>
            <w:shd w:val="clear" w:color="auto" w:fill="auto"/>
            <w:noWrap/>
            <w:vAlign w:val="bottom"/>
            <w:hideMark/>
          </w:tcPr>
          <w:p w:rsidR="004165D8" w:rsidRPr="004165D8" w:rsidRDefault="004165D8" w:rsidP="004165D8">
            <w:pPr>
              <w:spacing w:after="0"/>
              <w:jc w:val="right"/>
              <w:rPr>
                <w:rFonts w:cs="Arial"/>
                <w:b/>
                <w:bCs/>
                <w:sz w:val="22"/>
                <w:szCs w:val="22"/>
              </w:rPr>
            </w:pPr>
            <w:r w:rsidRPr="004165D8">
              <w:rPr>
                <w:rFonts w:cs="Arial"/>
                <w:b/>
                <w:bCs/>
                <w:sz w:val="22"/>
                <w:szCs w:val="22"/>
              </w:rPr>
              <w:t>45</w:t>
            </w:r>
          </w:p>
        </w:tc>
        <w:tc>
          <w:tcPr>
            <w:tcW w:w="1488" w:type="dxa"/>
            <w:tcBorders>
              <w:top w:val="nil"/>
              <w:left w:val="nil"/>
              <w:bottom w:val="single" w:sz="4" w:space="0" w:color="auto"/>
              <w:right w:val="single" w:sz="4" w:space="0" w:color="auto"/>
            </w:tcBorders>
            <w:shd w:val="clear" w:color="auto" w:fill="auto"/>
            <w:noWrap/>
            <w:vAlign w:val="bottom"/>
            <w:hideMark/>
          </w:tcPr>
          <w:p w:rsidR="004165D8" w:rsidRPr="004165D8" w:rsidRDefault="004165D8" w:rsidP="004165D8">
            <w:pPr>
              <w:spacing w:after="0"/>
              <w:jc w:val="right"/>
              <w:rPr>
                <w:rFonts w:cs="Arial"/>
                <w:b/>
                <w:bCs/>
                <w:sz w:val="22"/>
                <w:szCs w:val="22"/>
              </w:rPr>
            </w:pPr>
            <w:r w:rsidRPr="004165D8">
              <w:rPr>
                <w:rFonts w:cs="Arial"/>
                <w:b/>
                <w:bCs/>
                <w:sz w:val="22"/>
                <w:szCs w:val="22"/>
              </w:rPr>
              <w:t>1151</w:t>
            </w:r>
          </w:p>
        </w:tc>
        <w:tc>
          <w:tcPr>
            <w:tcW w:w="1488" w:type="dxa"/>
            <w:tcBorders>
              <w:top w:val="nil"/>
              <w:left w:val="nil"/>
              <w:bottom w:val="single" w:sz="4" w:space="0" w:color="auto"/>
              <w:right w:val="single" w:sz="4" w:space="0" w:color="auto"/>
            </w:tcBorders>
            <w:shd w:val="clear" w:color="auto" w:fill="auto"/>
            <w:noWrap/>
            <w:vAlign w:val="bottom"/>
            <w:hideMark/>
          </w:tcPr>
          <w:p w:rsidR="004165D8" w:rsidRPr="004165D8" w:rsidRDefault="004165D8" w:rsidP="004165D8">
            <w:pPr>
              <w:spacing w:after="0"/>
              <w:jc w:val="right"/>
              <w:rPr>
                <w:rFonts w:cs="Arial"/>
                <w:b/>
                <w:bCs/>
                <w:sz w:val="22"/>
                <w:szCs w:val="22"/>
              </w:rPr>
            </w:pPr>
            <w:r w:rsidRPr="004165D8">
              <w:rPr>
                <w:rFonts w:cs="Arial"/>
                <w:b/>
                <w:bCs/>
                <w:sz w:val="22"/>
                <w:szCs w:val="22"/>
              </w:rPr>
              <w:t>814</w:t>
            </w:r>
          </w:p>
        </w:tc>
        <w:tc>
          <w:tcPr>
            <w:tcW w:w="1489" w:type="dxa"/>
            <w:tcBorders>
              <w:top w:val="nil"/>
              <w:left w:val="nil"/>
              <w:bottom w:val="single" w:sz="4" w:space="0" w:color="auto"/>
              <w:right w:val="single" w:sz="4" w:space="0" w:color="auto"/>
            </w:tcBorders>
            <w:shd w:val="clear" w:color="auto" w:fill="auto"/>
            <w:noWrap/>
            <w:vAlign w:val="bottom"/>
            <w:hideMark/>
          </w:tcPr>
          <w:p w:rsidR="004165D8" w:rsidRPr="004165D8" w:rsidRDefault="004165D8" w:rsidP="004165D8">
            <w:pPr>
              <w:spacing w:after="0"/>
              <w:rPr>
                <w:rFonts w:cs="Arial"/>
                <w:b/>
                <w:bCs/>
                <w:sz w:val="22"/>
                <w:szCs w:val="22"/>
              </w:rPr>
            </w:pPr>
            <w:r w:rsidRPr="004165D8">
              <w:rPr>
                <w:rFonts w:cs="Arial"/>
                <w:b/>
                <w:bCs/>
                <w:sz w:val="22"/>
                <w:szCs w:val="22"/>
              </w:rPr>
              <w:t> </w:t>
            </w:r>
          </w:p>
        </w:tc>
      </w:tr>
      <w:tr w:rsidR="004165D8" w:rsidRPr="004165D8" w:rsidTr="004165D8">
        <w:trPr>
          <w:trHeight w:val="300"/>
        </w:trPr>
        <w:tc>
          <w:tcPr>
            <w:tcW w:w="3134" w:type="dxa"/>
            <w:tcBorders>
              <w:top w:val="nil"/>
              <w:left w:val="single" w:sz="4" w:space="0" w:color="auto"/>
              <w:bottom w:val="single" w:sz="4" w:space="0" w:color="auto"/>
              <w:right w:val="single" w:sz="4" w:space="0" w:color="auto"/>
            </w:tcBorders>
            <w:shd w:val="clear" w:color="000000" w:fill="808080"/>
            <w:noWrap/>
            <w:vAlign w:val="center"/>
            <w:hideMark/>
          </w:tcPr>
          <w:p w:rsidR="004165D8" w:rsidRPr="004165D8" w:rsidRDefault="004165D8" w:rsidP="004165D8">
            <w:pPr>
              <w:spacing w:after="0"/>
              <w:rPr>
                <w:rFonts w:cs="Arial"/>
                <w:sz w:val="22"/>
                <w:szCs w:val="22"/>
              </w:rPr>
            </w:pPr>
            <w:r w:rsidRPr="004165D8">
              <w:rPr>
                <w:rFonts w:cs="Arial"/>
                <w:sz w:val="22"/>
                <w:szCs w:val="22"/>
              </w:rPr>
              <w:t xml:space="preserve">2018/19 </w:t>
            </w:r>
          </w:p>
        </w:tc>
        <w:tc>
          <w:tcPr>
            <w:tcW w:w="1488" w:type="dxa"/>
            <w:tcBorders>
              <w:top w:val="nil"/>
              <w:left w:val="nil"/>
              <w:bottom w:val="single" w:sz="4" w:space="0" w:color="auto"/>
              <w:right w:val="single" w:sz="4" w:space="0" w:color="auto"/>
            </w:tcBorders>
            <w:shd w:val="clear" w:color="000000" w:fill="808080"/>
            <w:noWrap/>
            <w:hideMark/>
          </w:tcPr>
          <w:p w:rsidR="004165D8" w:rsidRPr="004165D8" w:rsidRDefault="004165D8" w:rsidP="004165D8">
            <w:pPr>
              <w:spacing w:after="0"/>
              <w:jc w:val="right"/>
              <w:rPr>
                <w:rFonts w:eastAsiaTheme="minorHAnsi" w:cs="Arial"/>
                <w:color w:val="auto"/>
                <w:sz w:val="22"/>
                <w:szCs w:val="22"/>
                <w:lang w:eastAsia="en-US"/>
              </w:rPr>
            </w:pPr>
            <w:r w:rsidRPr="004165D8">
              <w:rPr>
                <w:rFonts w:eastAsiaTheme="minorHAnsi" w:cs="Arial"/>
                <w:color w:val="auto"/>
                <w:sz w:val="22"/>
                <w:szCs w:val="22"/>
                <w:lang w:eastAsia="en-US"/>
              </w:rPr>
              <w:t>Number of Cases</w:t>
            </w:r>
          </w:p>
        </w:tc>
        <w:tc>
          <w:tcPr>
            <w:tcW w:w="1488" w:type="dxa"/>
            <w:tcBorders>
              <w:top w:val="nil"/>
              <w:left w:val="nil"/>
              <w:bottom w:val="single" w:sz="4" w:space="0" w:color="auto"/>
              <w:right w:val="single" w:sz="4" w:space="0" w:color="auto"/>
            </w:tcBorders>
            <w:shd w:val="clear" w:color="000000" w:fill="808080"/>
            <w:noWrap/>
            <w:hideMark/>
          </w:tcPr>
          <w:p w:rsidR="004165D8" w:rsidRPr="004165D8" w:rsidRDefault="004165D8" w:rsidP="004165D8">
            <w:pPr>
              <w:spacing w:after="0"/>
              <w:jc w:val="right"/>
              <w:rPr>
                <w:rFonts w:eastAsiaTheme="minorHAnsi" w:cs="Arial"/>
                <w:color w:val="auto"/>
                <w:sz w:val="22"/>
                <w:szCs w:val="22"/>
                <w:lang w:eastAsia="en-US"/>
              </w:rPr>
            </w:pPr>
            <w:r w:rsidRPr="004165D8">
              <w:rPr>
                <w:rFonts w:eastAsiaTheme="minorHAnsi" w:cs="Arial"/>
                <w:color w:val="auto"/>
                <w:sz w:val="22"/>
                <w:szCs w:val="22"/>
                <w:lang w:eastAsia="en-US"/>
              </w:rPr>
              <w:t>Total DTOC Days</w:t>
            </w:r>
          </w:p>
        </w:tc>
        <w:tc>
          <w:tcPr>
            <w:tcW w:w="1488" w:type="dxa"/>
            <w:tcBorders>
              <w:top w:val="nil"/>
              <w:left w:val="nil"/>
              <w:bottom w:val="single" w:sz="4" w:space="0" w:color="auto"/>
              <w:right w:val="single" w:sz="4" w:space="0" w:color="auto"/>
            </w:tcBorders>
            <w:shd w:val="clear" w:color="000000" w:fill="808080"/>
            <w:noWrap/>
            <w:hideMark/>
          </w:tcPr>
          <w:p w:rsidR="004165D8" w:rsidRPr="004165D8" w:rsidRDefault="004165D8" w:rsidP="004165D8">
            <w:pPr>
              <w:spacing w:after="0"/>
              <w:jc w:val="right"/>
              <w:rPr>
                <w:rFonts w:eastAsiaTheme="minorHAnsi" w:cs="Arial"/>
                <w:color w:val="auto"/>
                <w:sz w:val="22"/>
                <w:szCs w:val="22"/>
                <w:lang w:eastAsia="en-US"/>
              </w:rPr>
            </w:pPr>
            <w:r w:rsidRPr="004165D8">
              <w:rPr>
                <w:rFonts w:eastAsiaTheme="minorHAnsi" w:cs="Arial"/>
                <w:color w:val="auto"/>
                <w:sz w:val="22"/>
                <w:szCs w:val="22"/>
                <w:lang w:eastAsia="en-US"/>
              </w:rPr>
              <w:t>Hub Bed Days</w:t>
            </w:r>
          </w:p>
        </w:tc>
        <w:tc>
          <w:tcPr>
            <w:tcW w:w="1489" w:type="dxa"/>
            <w:tcBorders>
              <w:top w:val="nil"/>
              <w:left w:val="nil"/>
              <w:bottom w:val="single" w:sz="4" w:space="0" w:color="auto"/>
              <w:right w:val="single" w:sz="4" w:space="0" w:color="auto"/>
            </w:tcBorders>
            <w:shd w:val="clear" w:color="000000" w:fill="808080"/>
            <w:noWrap/>
            <w:hideMark/>
          </w:tcPr>
          <w:p w:rsidR="004165D8" w:rsidRPr="004165D8" w:rsidRDefault="004165D8" w:rsidP="004165D8">
            <w:pPr>
              <w:spacing w:after="0"/>
              <w:jc w:val="right"/>
              <w:rPr>
                <w:rFonts w:eastAsiaTheme="minorHAnsi" w:cs="Arial"/>
                <w:color w:val="auto"/>
                <w:sz w:val="22"/>
                <w:szCs w:val="22"/>
                <w:lang w:eastAsia="en-US"/>
              </w:rPr>
            </w:pPr>
            <w:r w:rsidRPr="004165D8">
              <w:rPr>
                <w:rFonts w:eastAsiaTheme="minorHAnsi" w:cs="Arial"/>
                <w:color w:val="auto"/>
                <w:sz w:val="22"/>
                <w:szCs w:val="22"/>
                <w:lang w:eastAsia="en-US"/>
              </w:rPr>
              <w:t>Average Delay</w:t>
            </w:r>
          </w:p>
        </w:tc>
      </w:tr>
      <w:tr w:rsidR="004165D8" w:rsidRPr="004165D8" w:rsidTr="004165D8">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4165D8" w:rsidRPr="004165D8" w:rsidRDefault="004165D8" w:rsidP="004165D8">
            <w:pPr>
              <w:spacing w:after="0"/>
              <w:rPr>
                <w:rFonts w:cs="Arial"/>
                <w:sz w:val="22"/>
                <w:szCs w:val="22"/>
              </w:rPr>
            </w:pPr>
            <w:r w:rsidRPr="004165D8">
              <w:rPr>
                <w:rFonts w:cs="Arial"/>
                <w:sz w:val="22"/>
                <w:szCs w:val="22"/>
              </w:rPr>
              <w:t>Housing only</w:t>
            </w:r>
          </w:p>
        </w:tc>
        <w:tc>
          <w:tcPr>
            <w:tcW w:w="1488" w:type="dxa"/>
            <w:tcBorders>
              <w:top w:val="nil"/>
              <w:left w:val="nil"/>
              <w:bottom w:val="single" w:sz="4" w:space="0" w:color="auto"/>
              <w:right w:val="single" w:sz="4" w:space="0" w:color="auto"/>
            </w:tcBorders>
            <w:shd w:val="clear" w:color="auto" w:fill="auto"/>
            <w:noWrap/>
            <w:vAlign w:val="bottom"/>
            <w:hideMark/>
          </w:tcPr>
          <w:p w:rsidR="004165D8" w:rsidRPr="004165D8" w:rsidRDefault="004165D8" w:rsidP="004165D8">
            <w:pPr>
              <w:spacing w:after="0"/>
              <w:jc w:val="right"/>
              <w:rPr>
                <w:rFonts w:eastAsiaTheme="minorHAnsi" w:cs="Arial"/>
                <w:sz w:val="22"/>
                <w:szCs w:val="22"/>
              </w:rPr>
            </w:pPr>
            <w:r w:rsidRPr="004165D8">
              <w:rPr>
                <w:rFonts w:eastAsiaTheme="minorHAnsi" w:cs="Arial"/>
                <w:sz w:val="22"/>
                <w:szCs w:val="22"/>
              </w:rPr>
              <w:t>16</w:t>
            </w:r>
          </w:p>
        </w:tc>
        <w:tc>
          <w:tcPr>
            <w:tcW w:w="1488" w:type="dxa"/>
            <w:tcBorders>
              <w:top w:val="nil"/>
              <w:left w:val="nil"/>
              <w:bottom w:val="single" w:sz="4" w:space="0" w:color="auto"/>
              <w:right w:val="single" w:sz="4" w:space="0" w:color="auto"/>
            </w:tcBorders>
            <w:shd w:val="clear" w:color="auto" w:fill="auto"/>
            <w:noWrap/>
            <w:vAlign w:val="bottom"/>
            <w:hideMark/>
          </w:tcPr>
          <w:p w:rsidR="004165D8" w:rsidRPr="004165D8" w:rsidRDefault="004165D8" w:rsidP="004165D8">
            <w:pPr>
              <w:spacing w:after="0"/>
              <w:jc w:val="right"/>
              <w:rPr>
                <w:rFonts w:eastAsiaTheme="minorHAnsi" w:cs="Arial"/>
                <w:sz w:val="22"/>
                <w:szCs w:val="22"/>
              </w:rPr>
            </w:pPr>
            <w:r w:rsidRPr="004165D8">
              <w:rPr>
                <w:rFonts w:eastAsiaTheme="minorHAnsi" w:cs="Arial"/>
                <w:sz w:val="22"/>
                <w:szCs w:val="22"/>
              </w:rPr>
              <w:t>388</w:t>
            </w:r>
          </w:p>
        </w:tc>
        <w:tc>
          <w:tcPr>
            <w:tcW w:w="1488" w:type="dxa"/>
            <w:tcBorders>
              <w:top w:val="nil"/>
              <w:left w:val="nil"/>
              <w:bottom w:val="single" w:sz="4" w:space="0" w:color="auto"/>
              <w:right w:val="single" w:sz="4" w:space="0" w:color="auto"/>
            </w:tcBorders>
            <w:shd w:val="clear" w:color="auto" w:fill="auto"/>
            <w:noWrap/>
            <w:vAlign w:val="bottom"/>
            <w:hideMark/>
          </w:tcPr>
          <w:p w:rsidR="004165D8" w:rsidRPr="004165D8" w:rsidRDefault="004165D8" w:rsidP="004165D8">
            <w:pPr>
              <w:spacing w:after="0"/>
              <w:jc w:val="right"/>
              <w:rPr>
                <w:rFonts w:eastAsiaTheme="minorHAnsi" w:cs="Arial"/>
                <w:sz w:val="22"/>
                <w:szCs w:val="22"/>
              </w:rPr>
            </w:pPr>
            <w:r w:rsidRPr="004165D8">
              <w:rPr>
                <w:rFonts w:eastAsiaTheme="minorHAnsi" w:cs="Arial"/>
                <w:sz w:val="22"/>
                <w:szCs w:val="22"/>
              </w:rPr>
              <w:t>0</w:t>
            </w:r>
          </w:p>
        </w:tc>
        <w:tc>
          <w:tcPr>
            <w:tcW w:w="1489" w:type="dxa"/>
            <w:tcBorders>
              <w:top w:val="nil"/>
              <w:left w:val="nil"/>
              <w:bottom w:val="single" w:sz="4" w:space="0" w:color="auto"/>
              <w:right w:val="single" w:sz="4" w:space="0" w:color="auto"/>
            </w:tcBorders>
            <w:shd w:val="clear" w:color="auto" w:fill="auto"/>
            <w:noWrap/>
            <w:vAlign w:val="bottom"/>
            <w:hideMark/>
          </w:tcPr>
          <w:p w:rsidR="004165D8" w:rsidRPr="004165D8" w:rsidRDefault="004165D8" w:rsidP="004165D8">
            <w:pPr>
              <w:spacing w:after="0"/>
              <w:jc w:val="right"/>
              <w:rPr>
                <w:rFonts w:eastAsiaTheme="minorHAnsi" w:cs="Arial"/>
                <w:sz w:val="22"/>
                <w:szCs w:val="22"/>
              </w:rPr>
            </w:pPr>
            <w:r w:rsidRPr="004165D8">
              <w:rPr>
                <w:rFonts w:eastAsiaTheme="minorHAnsi" w:cs="Arial"/>
                <w:sz w:val="22"/>
                <w:szCs w:val="22"/>
              </w:rPr>
              <w:t>24.25</w:t>
            </w:r>
          </w:p>
        </w:tc>
      </w:tr>
      <w:tr w:rsidR="004165D8" w:rsidRPr="004165D8" w:rsidTr="004165D8">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4165D8" w:rsidRPr="004165D8" w:rsidRDefault="004165D8" w:rsidP="004165D8">
            <w:pPr>
              <w:spacing w:after="0"/>
              <w:rPr>
                <w:rFonts w:cs="Arial"/>
                <w:sz w:val="22"/>
                <w:szCs w:val="22"/>
              </w:rPr>
            </w:pPr>
            <w:r w:rsidRPr="004165D8">
              <w:rPr>
                <w:rFonts w:cs="Arial"/>
                <w:sz w:val="22"/>
                <w:szCs w:val="22"/>
              </w:rPr>
              <w:t>Housing (</w:t>
            </w:r>
            <w:proofErr w:type="spellStart"/>
            <w:r w:rsidRPr="004165D8">
              <w:rPr>
                <w:rFonts w:cs="Arial"/>
                <w:sz w:val="22"/>
                <w:szCs w:val="22"/>
              </w:rPr>
              <w:t>inc</w:t>
            </w:r>
            <w:proofErr w:type="spellEnd"/>
            <w:r w:rsidRPr="004165D8">
              <w:rPr>
                <w:rFonts w:cs="Arial"/>
                <w:sz w:val="22"/>
                <w:szCs w:val="22"/>
              </w:rPr>
              <w:t xml:space="preserve"> Hub)</w:t>
            </w:r>
          </w:p>
        </w:tc>
        <w:tc>
          <w:tcPr>
            <w:tcW w:w="1488" w:type="dxa"/>
            <w:tcBorders>
              <w:top w:val="nil"/>
              <w:left w:val="nil"/>
              <w:bottom w:val="single" w:sz="4" w:space="0" w:color="auto"/>
              <w:right w:val="single" w:sz="4" w:space="0" w:color="auto"/>
            </w:tcBorders>
            <w:shd w:val="clear" w:color="auto" w:fill="auto"/>
            <w:noWrap/>
            <w:vAlign w:val="bottom"/>
            <w:hideMark/>
          </w:tcPr>
          <w:p w:rsidR="004165D8" w:rsidRPr="004165D8" w:rsidRDefault="004165D8" w:rsidP="004165D8">
            <w:pPr>
              <w:spacing w:after="0"/>
              <w:jc w:val="right"/>
              <w:rPr>
                <w:rFonts w:eastAsiaTheme="minorHAnsi" w:cs="Arial"/>
                <w:sz w:val="22"/>
                <w:szCs w:val="22"/>
              </w:rPr>
            </w:pPr>
            <w:r w:rsidRPr="004165D8">
              <w:rPr>
                <w:rFonts w:eastAsiaTheme="minorHAnsi" w:cs="Arial"/>
                <w:sz w:val="22"/>
                <w:szCs w:val="22"/>
              </w:rPr>
              <w:t>8</w:t>
            </w:r>
          </w:p>
        </w:tc>
        <w:tc>
          <w:tcPr>
            <w:tcW w:w="1488" w:type="dxa"/>
            <w:tcBorders>
              <w:top w:val="nil"/>
              <w:left w:val="nil"/>
              <w:bottom w:val="single" w:sz="4" w:space="0" w:color="auto"/>
              <w:right w:val="single" w:sz="4" w:space="0" w:color="auto"/>
            </w:tcBorders>
            <w:shd w:val="clear" w:color="auto" w:fill="auto"/>
            <w:noWrap/>
            <w:vAlign w:val="bottom"/>
            <w:hideMark/>
          </w:tcPr>
          <w:p w:rsidR="004165D8" w:rsidRPr="004165D8" w:rsidRDefault="004165D8" w:rsidP="004165D8">
            <w:pPr>
              <w:spacing w:after="0"/>
              <w:jc w:val="right"/>
              <w:rPr>
                <w:rFonts w:eastAsiaTheme="minorHAnsi" w:cs="Arial"/>
                <w:sz w:val="22"/>
                <w:szCs w:val="22"/>
              </w:rPr>
            </w:pPr>
            <w:r w:rsidRPr="004165D8">
              <w:rPr>
                <w:rFonts w:eastAsiaTheme="minorHAnsi" w:cs="Arial"/>
                <w:sz w:val="22"/>
                <w:szCs w:val="22"/>
              </w:rPr>
              <w:t>85</w:t>
            </w:r>
          </w:p>
        </w:tc>
        <w:tc>
          <w:tcPr>
            <w:tcW w:w="1488" w:type="dxa"/>
            <w:tcBorders>
              <w:top w:val="nil"/>
              <w:left w:val="nil"/>
              <w:bottom w:val="single" w:sz="4" w:space="0" w:color="auto"/>
              <w:right w:val="single" w:sz="4" w:space="0" w:color="auto"/>
            </w:tcBorders>
            <w:shd w:val="clear" w:color="auto" w:fill="auto"/>
            <w:noWrap/>
            <w:vAlign w:val="bottom"/>
            <w:hideMark/>
          </w:tcPr>
          <w:p w:rsidR="004165D8" w:rsidRPr="004165D8" w:rsidRDefault="004165D8" w:rsidP="004165D8">
            <w:pPr>
              <w:spacing w:after="0"/>
              <w:jc w:val="right"/>
              <w:rPr>
                <w:rFonts w:eastAsiaTheme="minorHAnsi" w:cs="Arial"/>
                <w:sz w:val="22"/>
                <w:szCs w:val="22"/>
              </w:rPr>
            </w:pPr>
            <w:r w:rsidRPr="004165D8">
              <w:rPr>
                <w:rFonts w:eastAsiaTheme="minorHAnsi" w:cs="Arial"/>
                <w:sz w:val="22"/>
                <w:szCs w:val="22"/>
              </w:rPr>
              <w:t>249</w:t>
            </w:r>
          </w:p>
        </w:tc>
        <w:tc>
          <w:tcPr>
            <w:tcW w:w="1489" w:type="dxa"/>
            <w:tcBorders>
              <w:top w:val="nil"/>
              <w:left w:val="nil"/>
              <w:bottom w:val="single" w:sz="4" w:space="0" w:color="auto"/>
              <w:right w:val="single" w:sz="4" w:space="0" w:color="auto"/>
            </w:tcBorders>
            <w:shd w:val="clear" w:color="auto" w:fill="auto"/>
            <w:noWrap/>
            <w:vAlign w:val="bottom"/>
            <w:hideMark/>
          </w:tcPr>
          <w:p w:rsidR="004165D8" w:rsidRPr="004165D8" w:rsidRDefault="004165D8" w:rsidP="004165D8">
            <w:pPr>
              <w:spacing w:after="0"/>
              <w:jc w:val="right"/>
              <w:rPr>
                <w:rFonts w:eastAsiaTheme="minorHAnsi" w:cs="Arial"/>
                <w:sz w:val="22"/>
                <w:szCs w:val="22"/>
              </w:rPr>
            </w:pPr>
            <w:r w:rsidRPr="004165D8">
              <w:rPr>
                <w:rFonts w:eastAsiaTheme="minorHAnsi" w:cs="Arial"/>
                <w:sz w:val="22"/>
                <w:szCs w:val="22"/>
              </w:rPr>
              <w:t>41.75</w:t>
            </w:r>
          </w:p>
        </w:tc>
      </w:tr>
      <w:tr w:rsidR="004165D8" w:rsidRPr="004165D8" w:rsidTr="004165D8">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4165D8" w:rsidRPr="004165D8" w:rsidRDefault="004165D8" w:rsidP="004165D8">
            <w:pPr>
              <w:spacing w:after="0"/>
              <w:rPr>
                <w:rFonts w:cs="Arial"/>
                <w:sz w:val="22"/>
                <w:szCs w:val="22"/>
              </w:rPr>
            </w:pPr>
            <w:r w:rsidRPr="004165D8">
              <w:rPr>
                <w:rFonts w:cs="Arial"/>
                <w:sz w:val="22"/>
                <w:szCs w:val="22"/>
              </w:rPr>
              <w:t>Multiple Reasons</w:t>
            </w:r>
          </w:p>
        </w:tc>
        <w:tc>
          <w:tcPr>
            <w:tcW w:w="1488" w:type="dxa"/>
            <w:tcBorders>
              <w:top w:val="nil"/>
              <w:left w:val="nil"/>
              <w:bottom w:val="single" w:sz="4" w:space="0" w:color="auto"/>
              <w:right w:val="single" w:sz="4" w:space="0" w:color="auto"/>
            </w:tcBorders>
            <w:shd w:val="clear" w:color="auto" w:fill="auto"/>
            <w:noWrap/>
            <w:vAlign w:val="bottom"/>
            <w:hideMark/>
          </w:tcPr>
          <w:p w:rsidR="004165D8" w:rsidRPr="004165D8" w:rsidRDefault="004165D8" w:rsidP="004165D8">
            <w:pPr>
              <w:spacing w:after="0"/>
              <w:jc w:val="right"/>
              <w:rPr>
                <w:rFonts w:eastAsiaTheme="minorHAnsi" w:cs="Arial"/>
                <w:sz w:val="22"/>
                <w:szCs w:val="22"/>
              </w:rPr>
            </w:pPr>
            <w:r w:rsidRPr="004165D8">
              <w:rPr>
                <w:rFonts w:eastAsiaTheme="minorHAnsi" w:cs="Arial"/>
                <w:sz w:val="22"/>
                <w:szCs w:val="22"/>
              </w:rPr>
              <w:t>4</w:t>
            </w:r>
          </w:p>
        </w:tc>
        <w:tc>
          <w:tcPr>
            <w:tcW w:w="1488" w:type="dxa"/>
            <w:tcBorders>
              <w:top w:val="nil"/>
              <w:left w:val="nil"/>
              <w:bottom w:val="single" w:sz="4" w:space="0" w:color="auto"/>
              <w:right w:val="single" w:sz="4" w:space="0" w:color="auto"/>
            </w:tcBorders>
            <w:shd w:val="clear" w:color="auto" w:fill="auto"/>
            <w:noWrap/>
            <w:vAlign w:val="bottom"/>
            <w:hideMark/>
          </w:tcPr>
          <w:p w:rsidR="004165D8" w:rsidRPr="004165D8" w:rsidRDefault="004165D8" w:rsidP="004165D8">
            <w:pPr>
              <w:spacing w:after="0"/>
              <w:jc w:val="right"/>
              <w:rPr>
                <w:rFonts w:eastAsiaTheme="minorHAnsi" w:cs="Arial"/>
                <w:sz w:val="22"/>
                <w:szCs w:val="22"/>
              </w:rPr>
            </w:pPr>
            <w:r w:rsidRPr="004165D8">
              <w:rPr>
                <w:rFonts w:eastAsiaTheme="minorHAnsi" w:cs="Arial"/>
                <w:sz w:val="22"/>
                <w:szCs w:val="22"/>
              </w:rPr>
              <w:t>193</w:t>
            </w:r>
          </w:p>
        </w:tc>
        <w:tc>
          <w:tcPr>
            <w:tcW w:w="1488" w:type="dxa"/>
            <w:tcBorders>
              <w:top w:val="nil"/>
              <w:left w:val="nil"/>
              <w:bottom w:val="single" w:sz="4" w:space="0" w:color="auto"/>
              <w:right w:val="single" w:sz="4" w:space="0" w:color="auto"/>
            </w:tcBorders>
            <w:shd w:val="clear" w:color="auto" w:fill="auto"/>
            <w:noWrap/>
            <w:vAlign w:val="bottom"/>
            <w:hideMark/>
          </w:tcPr>
          <w:p w:rsidR="004165D8" w:rsidRPr="004165D8" w:rsidRDefault="004165D8" w:rsidP="004165D8">
            <w:pPr>
              <w:spacing w:after="0"/>
              <w:jc w:val="right"/>
              <w:rPr>
                <w:rFonts w:eastAsiaTheme="minorHAnsi" w:cs="Arial"/>
                <w:sz w:val="22"/>
                <w:szCs w:val="22"/>
              </w:rPr>
            </w:pPr>
            <w:r w:rsidRPr="004165D8">
              <w:rPr>
                <w:rFonts w:eastAsiaTheme="minorHAnsi" w:cs="Arial"/>
                <w:sz w:val="22"/>
                <w:szCs w:val="22"/>
              </w:rPr>
              <w:t>0</w:t>
            </w:r>
          </w:p>
        </w:tc>
        <w:tc>
          <w:tcPr>
            <w:tcW w:w="1489" w:type="dxa"/>
            <w:tcBorders>
              <w:top w:val="nil"/>
              <w:left w:val="nil"/>
              <w:bottom w:val="single" w:sz="4" w:space="0" w:color="auto"/>
              <w:right w:val="single" w:sz="4" w:space="0" w:color="auto"/>
            </w:tcBorders>
            <w:shd w:val="clear" w:color="auto" w:fill="auto"/>
            <w:noWrap/>
            <w:vAlign w:val="bottom"/>
            <w:hideMark/>
          </w:tcPr>
          <w:p w:rsidR="004165D8" w:rsidRPr="004165D8" w:rsidRDefault="004165D8" w:rsidP="004165D8">
            <w:pPr>
              <w:spacing w:after="0"/>
              <w:jc w:val="right"/>
              <w:rPr>
                <w:rFonts w:eastAsiaTheme="minorHAnsi" w:cs="Arial"/>
                <w:sz w:val="22"/>
                <w:szCs w:val="22"/>
              </w:rPr>
            </w:pPr>
            <w:r w:rsidRPr="004165D8">
              <w:rPr>
                <w:rFonts w:eastAsiaTheme="minorHAnsi" w:cs="Arial"/>
                <w:sz w:val="22"/>
                <w:szCs w:val="22"/>
              </w:rPr>
              <w:t>48.25</w:t>
            </w:r>
          </w:p>
        </w:tc>
      </w:tr>
      <w:tr w:rsidR="004165D8" w:rsidRPr="004165D8" w:rsidTr="004165D8">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4165D8" w:rsidRPr="004165D8" w:rsidRDefault="004165D8" w:rsidP="004165D8">
            <w:pPr>
              <w:spacing w:after="0"/>
              <w:rPr>
                <w:rFonts w:cs="Arial"/>
                <w:sz w:val="22"/>
                <w:szCs w:val="22"/>
              </w:rPr>
            </w:pPr>
            <w:r w:rsidRPr="004165D8">
              <w:rPr>
                <w:rFonts w:cs="Arial"/>
                <w:sz w:val="22"/>
                <w:szCs w:val="22"/>
              </w:rPr>
              <w:t>Multiple (</w:t>
            </w:r>
            <w:proofErr w:type="spellStart"/>
            <w:r w:rsidRPr="004165D8">
              <w:rPr>
                <w:rFonts w:cs="Arial"/>
                <w:sz w:val="22"/>
                <w:szCs w:val="22"/>
              </w:rPr>
              <w:t>inc</w:t>
            </w:r>
            <w:proofErr w:type="spellEnd"/>
            <w:r w:rsidRPr="004165D8">
              <w:rPr>
                <w:rFonts w:cs="Arial"/>
                <w:sz w:val="22"/>
                <w:szCs w:val="22"/>
              </w:rPr>
              <w:t xml:space="preserve"> Hub)</w:t>
            </w:r>
          </w:p>
        </w:tc>
        <w:tc>
          <w:tcPr>
            <w:tcW w:w="1488" w:type="dxa"/>
            <w:tcBorders>
              <w:top w:val="nil"/>
              <w:left w:val="nil"/>
              <w:bottom w:val="single" w:sz="4" w:space="0" w:color="auto"/>
              <w:right w:val="single" w:sz="4" w:space="0" w:color="auto"/>
            </w:tcBorders>
            <w:shd w:val="clear" w:color="auto" w:fill="auto"/>
            <w:noWrap/>
            <w:vAlign w:val="bottom"/>
            <w:hideMark/>
          </w:tcPr>
          <w:p w:rsidR="004165D8" w:rsidRPr="004165D8" w:rsidRDefault="004165D8" w:rsidP="004165D8">
            <w:pPr>
              <w:spacing w:after="0"/>
              <w:jc w:val="right"/>
              <w:rPr>
                <w:rFonts w:eastAsiaTheme="minorHAnsi" w:cs="Arial"/>
                <w:sz w:val="22"/>
                <w:szCs w:val="22"/>
              </w:rPr>
            </w:pPr>
            <w:r w:rsidRPr="004165D8">
              <w:rPr>
                <w:rFonts w:eastAsiaTheme="minorHAnsi" w:cs="Arial"/>
                <w:sz w:val="22"/>
                <w:szCs w:val="22"/>
              </w:rPr>
              <w:t>3</w:t>
            </w:r>
          </w:p>
        </w:tc>
        <w:tc>
          <w:tcPr>
            <w:tcW w:w="1488" w:type="dxa"/>
            <w:tcBorders>
              <w:top w:val="nil"/>
              <w:left w:val="nil"/>
              <w:bottom w:val="single" w:sz="4" w:space="0" w:color="auto"/>
              <w:right w:val="single" w:sz="4" w:space="0" w:color="auto"/>
            </w:tcBorders>
            <w:shd w:val="clear" w:color="auto" w:fill="auto"/>
            <w:noWrap/>
            <w:vAlign w:val="bottom"/>
            <w:hideMark/>
          </w:tcPr>
          <w:p w:rsidR="004165D8" w:rsidRPr="004165D8" w:rsidRDefault="004165D8" w:rsidP="004165D8">
            <w:pPr>
              <w:spacing w:after="0"/>
              <w:jc w:val="right"/>
              <w:rPr>
                <w:rFonts w:eastAsiaTheme="minorHAnsi" w:cs="Arial"/>
                <w:sz w:val="22"/>
                <w:szCs w:val="22"/>
              </w:rPr>
            </w:pPr>
            <w:r w:rsidRPr="004165D8">
              <w:rPr>
                <w:rFonts w:eastAsiaTheme="minorHAnsi" w:cs="Arial"/>
                <w:sz w:val="22"/>
                <w:szCs w:val="22"/>
              </w:rPr>
              <w:t>51</w:t>
            </w:r>
          </w:p>
        </w:tc>
        <w:tc>
          <w:tcPr>
            <w:tcW w:w="1488" w:type="dxa"/>
            <w:tcBorders>
              <w:top w:val="nil"/>
              <w:left w:val="nil"/>
              <w:bottom w:val="single" w:sz="4" w:space="0" w:color="auto"/>
              <w:right w:val="single" w:sz="4" w:space="0" w:color="auto"/>
            </w:tcBorders>
            <w:shd w:val="clear" w:color="auto" w:fill="auto"/>
            <w:noWrap/>
            <w:vAlign w:val="bottom"/>
            <w:hideMark/>
          </w:tcPr>
          <w:p w:rsidR="004165D8" w:rsidRPr="004165D8" w:rsidRDefault="004165D8" w:rsidP="004165D8">
            <w:pPr>
              <w:spacing w:after="0"/>
              <w:jc w:val="right"/>
              <w:rPr>
                <w:rFonts w:eastAsiaTheme="minorHAnsi" w:cs="Arial"/>
                <w:sz w:val="22"/>
                <w:szCs w:val="22"/>
              </w:rPr>
            </w:pPr>
            <w:r w:rsidRPr="004165D8">
              <w:rPr>
                <w:rFonts w:eastAsiaTheme="minorHAnsi" w:cs="Arial"/>
                <w:sz w:val="22"/>
                <w:szCs w:val="22"/>
              </w:rPr>
              <w:t>69</w:t>
            </w:r>
          </w:p>
        </w:tc>
        <w:tc>
          <w:tcPr>
            <w:tcW w:w="1489" w:type="dxa"/>
            <w:tcBorders>
              <w:top w:val="nil"/>
              <w:left w:val="nil"/>
              <w:bottom w:val="single" w:sz="4" w:space="0" w:color="auto"/>
              <w:right w:val="single" w:sz="4" w:space="0" w:color="auto"/>
            </w:tcBorders>
            <w:shd w:val="clear" w:color="auto" w:fill="auto"/>
            <w:noWrap/>
            <w:vAlign w:val="bottom"/>
            <w:hideMark/>
          </w:tcPr>
          <w:p w:rsidR="004165D8" w:rsidRPr="004165D8" w:rsidRDefault="004165D8" w:rsidP="004165D8">
            <w:pPr>
              <w:spacing w:after="0"/>
              <w:jc w:val="right"/>
              <w:rPr>
                <w:rFonts w:eastAsiaTheme="minorHAnsi" w:cs="Arial"/>
                <w:sz w:val="22"/>
                <w:szCs w:val="22"/>
              </w:rPr>
            </w:pPr>
            <w:r w:rsidRPr="004165D8">
              <w:rPr>
                <w:rFonts w:eastAsiaTheme="minorHAnsi" w:cs="Arial"/>
                <w:sz w:val="22"/>
                <w:szCs w:val="22"/>
              </w:rPr>
              <w:t>40.00</w:t>
            </w:r>
          </w:p>
        </w:tc>
      </w:tr>
      <w:tr w:rsidR="004165D8" w:rsidRPr="004165D8" w:rsidTr="004165D8">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4165D8" w:rsidRPr="004165D8" w:rsidRDefault="004165D8" w:rsidP="004165D8">
            <w:pPr>
              <w:spacing w:after="0"/>
              <w:rPr>
                <w:rFonts w:cs="Arial"/>
                <w:b/>
                <w:bCs/>
                <w:sz w:val="22"/>
                <w:szCs w:val="22"/>
              </w:rPr>
            </w:pPr>
            <w:r w:rsidRPr="004165D8">
              <w:rPr>
                <w:rFonts w:cs="Arial"/>
                <w:b/>
                <w:bCs/>
                <w:sz w:val="22"/>
                <w:szCs w:val="22"/>
              </w:rPr>
              <w:t>TOTAL</w:t>
            </w:r>
            <w:r w:rsidRPr="004165D8">
              <w:rPr>
                <w:rFonts w:cs="Arial"/>
                <w:bCs/>
                <w:sz w:val="22"/>
                <w:szCs w:val="22"/>
              </w:rPr>
              <w:t xml:space="preserve"> </w:t>
            </w:r>
          </w:p>
        </w:tc>
        <w:tc>
          <w:tcPr>
            <w:tcW w:w="1488" w:type="dxa"/>
            <w:tcBorders>
              <w:top w:val="nil"/>
              <w:left w:val="nil"/>
              <w:bottom w:val="single" w:sz="4" w:space="0" w:color="auto"/>
              <w:right w:val="single" w:sz="4" w:space="0" w:color="auto"/>
            </w:tcBorders>
            <w:shd w:val="clear" w:color="auto" w:fill="auto"/>
            <w:noWrap/>
            <w:vAlign w:val="bottom"/>
            <w:hideMark/>
          </w:tcPr>
          <w:p w:rsidR="004165D8" w:rsidRPr="004165D8" w:rsidRDefault="004165D8" w:rsidP="004165D8">
            <w:pPr>
              <w:spacing w:after="0"/>
              <w:jc w:val="right"/>
              <w:rPr>
                <w:rFonts w:eastAsiaTheme="minorHAnsi" w:cs="Arial"/>
                <w:b/>
                <w:bCs/>
                <w:sz w:val="22"/>
                <w:szCs w:val="22"/>
              </w:rPr>
            </w:pPr>
            <w:r w:rsidRPr="004165D8">
              <w:rPr>
                <w:rFonts w:eastAsiaTheme="minorHAnsi" w:cs="Arial"/>
                <w:b/>
                <w:bCs/>
                <w:sz w:val="22"/>
                <w:szCs w:val="22"/>
              </w:rPr>
              <w:t>31</w:t>
            </w:r>
          </w:p>
        </w:tc>
        <w:tc>
          <w:tcPr>
            <w:tcW w:w="1488" w:type="dxa"/>
            <w:tcBorders>
              <w:top w:val="nil"/>
              <w:left w:val="nil"/>
              <w:bottom w:val="single" w:sz="4" w:space="0" w:color="auto"/>
              <w:right w:val="single" w:sz="4" w:space="0" w:color="auto"/>
            </w:tcBorders>
            <w:shd w:val="clear" w:color="auto" w:fill="auto"/>
            <w:noWrap/>
            <w:vAlign w:val="bottom"/>
            <w:hideMark/>
          </w:tcPr>
          <w:p w:rsidR="004165D8" w:rsidRPr="004165D8" w:rsidRDefault="004165D8" w:rsidP="004165D8">
            <w:pPr>
              <w:spacing w:after="0"/>
              <w:jc w:val="right"/>
              <w:rPr>
                <w:rFonts w:eastAsiaTheme="minorHAnsi" w:cs="Arial"/>
                <w:b/>
                <w:bCs/>
                <w:sz w:val="22"/>
                <w:szCs w:val="22"/>
              </w:rPr>
            </w:pPr>
            <w:r w:rsidRPr="004165D8">
              <w:rPr>
                <w:rFonts w:eastAsiaTheme="minorHAnsi" w:cs="Arial"/>
                <w:b/>
                <w:bCs/>
                <w:sz w:val="22"/>
                <w:szCs w:val="22"/>
              </w:rPr>
              <w:t>717</w:t>
            </w:r>
          </w:p>
        </w:tc>
        <w:tc>
          <w:tcPr>
            <w:tcW w:w="1488" w:type="dxa"/>
            <w:tcBorders>
              <w:top w:val="nil"/>
              <w:left w:val="nil"/>
              <w:bottom w:val="single" w:sz="4" w:space="0" w:color="auto"/>
              <w:right w:val="single" w:sz="4" w:space="0" w:color="auto"/>
            </w:tcBorders>
            <w:shd w:val="clear" w:color="auto" w:fill="auto"/>
            <w:noWrap/>
            <w:vAlign w:val="bottom"/>
            <w:hideMark/>
          </w:tcPr>
          <w:p w:rsidR="004165D8" w:rsidRPr="004165D8" w:rsidRDefault="004165D8" w:rsidP="004165D8">
            <w:pPr>
              <w:spacing w:after="0"/>
              <w:jc w:val="right"/>
              <w:rPr>
                <w:rFonts w:eastAsiaTheme="minorHAnsi" w:cs="Arial"/>
                <w:b/>
                <w:bCs/>
                <w:sz w:val="22"/>
                <w:szCs w:val="22"/>
              </w:rPr>
            </w:pPr>
            <w:r w:rsidRPr="004165D8">
              <w:rPr>
                <w:rFonts w:eastAsiaTheme="minorHAnsi" w:cs="Arial"/>
                <w:b/>
                <w:bCs/>
                <w:sz w:val="22"/>
                <w:szCs w:val="22"/>
              </w:rPr>
              <w:t>318</w:t>
            </w:r>
          </w:p>
        </w:tc>
        <w:tc>
          <w:tcPr>
            <w:tcW w:w="1489" w:type="dxa"/>
            <w:tcBorders>
              <w:top w:val="nil"/>
              <w:left w:val="nil"/>
              <w:bottom w:val="single" w:sz="4" w:space="0" w:color="auto"/>
              <w:right w:val="single" w:sz="4" w:space="0" w:color="auto"/>
            </w:tcBorders>
            <w:shd w:val="clear" w:color="auto" w:fill="auto"/>
            <w:noWrap/>
            <w:vAlign w:val="bottom"/>
            <w:hideMark/>
          </w:tcPr>
          <w:p w:rsidR="004165D8" w:rsidRPr="004165D8" w:rsidRDefault="004165D8" w:rsidP="004165D8">
            <w:pPr>
              <w:spacing w:after="0"/>
              <w:rPr>
                <w:rFonts w:eastAsiaTheme="minorHAnsi" w:cs="Arial"/>
                <w:b/>
                <w:bCs/>
                <w:sz w:val="22"/>
                <w:szCs w:val="22"/>
              </w:rPr>
            </w:pPr>
            <w:r w:rsidRPr="004165D8">
              <w:rPr>
                <w:rFonts w:eastAsiaTheme="minorHAnsi" w:cs="Arial"/>
                <w:b/>
                <w:bCs/>
                <w:sz w:val="22"/>
                <w:szCs w:val="22"/>
              </w:rPr>
              <w:t> </w:t>
            </w:r>
          </w:p>
        </w:tc>
      </w:tr>
      <w:tr w:rsidR="004165D8" w:rsidRPr="004165D8" w:rsidTr="004165D8">
        <w:trPr>
          <w:trHeight w:val="300"/>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65D8" w:rsidRPr="004165D8" w:rsidRDefault="004165D8" w:rsidP="004165D8">
            <w:pPr>
              <w:spacing w:after="0"/>
              <w:rPr>
                <w:rFonts w:cs="Arial"/>
                <w:b/>
                <w:bCs/>
                <w:color w:val="FF0000"/>
                <w:sz w:val="22"/>
                <w:szCs w:val="22"/>
              </w:rPr>
            </w:pPr>
            <w:r w:rsidRPr="004165D8">
              <w:rPr>
                <w:rFonts w:cs="Arial"/>
                <w:b/>
                <w:bCs/>
                <w:color w:val="FF0000"/>
                <w:sz w:val="22"/>
                <w:szCs w:val="22"/>
              </w:rPr>
              <w:t>Reduction on previous year</w:t>
            </w:r>
          </w:p>
        </w:tc>
        <w:tc>
          <w:tcPr>
            <w:tcW w:w="1488" w:type="dxa"/>
            <w:tcBorders>
              <w:top w:val="single" w:sz="4" w:space="0" w:color="auto"/>
              <w:left w:val="nil"/>
              <w:bottom w:val="single" w:sz="4" w:space="0" w:color="auto"/>
              <w:right w:val="single" w:sz="4" w:space="0" w:color="auto"/>
            </w:tcBorders>
            <w:shd w:val="clear" w:color="auto" w:fill="auto"/>
            <w:noWrap/>
            <w:vAlign w:val="bottom"/>
            <w:hideMark/>
          </w:tcPr>
          <w:p w:rsidR="004165D8" w:rsidRPr="004165D8" w:rsidRDefault="004165D8" w:rsidP="004165D8">
            <w:pPr>
              <w:spacing w:after="0"/>
              <w:jc w:val="right"/>
              <w:rPr>
                <w:rFonts w:cs="Arial"/>
                <w:b/>
                <w:bCs/>
                <w:color w:val="FF0000"/>
                <w:sz w:val="22"/>
                <w:szCs w:val="22"/>
              </w:rPr>
            </w:pPr>
            <w:r w:rsidRPr="004165D8">
              <w:rPr>
                <w:rFonts w:cs="Arial"/>
                <w:b/>
                <w:bCs/>
                <w:color w:val="FF0000"/>
                <w:sz w:val="22"/>
                <w:szCs w:val="22"/>
              </w:rPr>
              <w:t> 14</w:t>
            </w:r>
          </w:p>
        </w:tc>
        <w:tc>
          <w:tcPr>
            <w:tcW w:w="1488" w:type="dxa"/>
            <w:tcBorders>
              <w:top w:val="single" w:sz="4" w:space="0" w:color="auto"/>
              <w:left w:val="nil"/>
              <w:bottom w:val="single" w:sz="4" w:space="0" w:color="auto"/>
              <w:right w:val="single" w:sz="4" w:space="0" w:color="auto"/>
            </w:tcBorders>
            <w:shd w:val="clear" w:color="auto" w:fill="auto"/>
            <w:noWrap/>
            <w:vAlign w:val="bottom"/>
            <w:hideMark/>
          </w:tcPr>
          <w:p w:rsidR="004165D8" w:rsidRPr="004165D8" w:rsidRDefault="004165D8" w:rsidP="004165D8">
            <w:pPr>
              <w:spacing w:after="0"/>
              <w:jc w:val="right"/>
              <w:rPr>
                <w:rFonts w:cs="Arial"/>
                <w:b/>
                <w:bCs/>
                <w:color w:val="FF0000"/>
                <w:sz w:val="22"/>
                <w:szCs w:val="22"/>
              </w:rPr>
            </w:pPr>
            <w:r w:rsidRPr="004165D8">
              <w:rPr>
                <w:rFonts w:cs="Arial"/>
                <w:b/>
                <w:bCs/>
                <w:color w:val="FF0000"/>
                <w:sz w:val="22"/>
                <w:szCs w:val="22"/>
              </w:rPr>
              <w:t>434 (38%)</w:t>
            </w:r>
          </w:p>
        </w:tc>
        <w:tc>
          <w:tcPr>
            <w:tcW w:w="1488" w:type="dxa"/>
            <w:tcBorders>
              <w:top w:val="single" w:sz="4" w:space="0" w:color="auto"/>
              <w:left w:val="nil"/>
              <w:bottom w:val="single" w:sz="4" w:space="0" w:color="auto"/>
              <w:right w:val="single" w:sz="4" w:space="0" w:color="auto"/>
            </w:tcBorders>
            <w:shd w:val="clear" w:color="auto" w:fill="auto"/>
            <w:noWrap/>
            <w:vAlign w:val="bottom"/>
            <w:hideMark/>
          </w:tcPr>
          <w:p w:rsidR="004165D8" w:rsidRPr="004165D8" w:rsidRDefault="004165D8" w:rsidP="004165D8">
            <w:pPr>
              <w:spacing w:after="0"/>
              <w:jc w:val="right"/>
              <w:rPr>
                <w:rFonts w:cs="Arial"/>
                <w:b/>
                <w:bCs/>
                <w:color w:val="FF0000"/>
                <w:sz w:val="22"/>
                <w:szCs w:val="22"/>
              </w:rPr>
            </w:pPr>
            <w:r w:rsidRPr="004165D8">
              <w:rPr>
                <w:rFonts w:cs="Arial"/>
                <w:b/>
                <w:bCs/>
                <w:color w:val="FF0000"/>
                <w:sz w:val="22"/>
                <w:szCs w:val="22"/>
              </w:rPr>
              <w:t>496 (61%)</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4165D8" w:rsidRPr="004165D8" w:rsidRDefault="004165D8" w:rsidP="004165D8">
            <w:pPr>
              <w:spacing w:after="0"/>
              <w:rPr>
                <w:rFonts w:cs="Arial"/>
                <w:b/>
                <w:bCs/>
                <w:sz w:val="22"/>
                <w:szCs w:val="22"/>
              </w:rPr>
            </w:pPr>
            <w:r w:rsidRPr="004165D8">
              <w:rPr>
                <w:rFonts w:cs="Arial"/>
                <w:b/>
                <w:bCs/>
                <w:sz w:val="22"/>
                <w:szCs w:val="22"/>
              </w:rPr>
              <w:t> </w:t>
            </w:r>
          </w:p>
        </w:tc>
      </w:tr>
      <w:tr w:rsidR="004165D8" w:rsidRPr="004165D8" w:rsidTr="004165D8">
        <w:trPr>
          <w:trHeight w:val="300"/>
        </w:trPr>
        <w:tc>
          <w:tcPr>
            <w:tcW w:w="3134" w:type="dxa"/>
            <w:tcBorders>
              <w:top w:val="single" w:sz="4" w:space="0" w:color="auto"/>
              <w:left w:val="single" w:sz="4" w:space="0" w:color="auto"/>
              <w:bottom w:val="single" w:sz="4" w:space="0" w:color="auto"/>
              <w:right w:val="single" w:sz="4" w:space="0" w:color="auto"/>
            </w:tcBorders>
            <w:shd w:val="clear" w:color="auto" w:fill="00B0F0"/>
            <w:noWrap/>
            <w:vAlign w:val="center"/>
          </w:tcPr>
          <w:p w:rsidR="004165D8" w:rsidRPr="004165D8" w:rsidRDefault="004165D8" w:rsidP="004165D8">
            <w:pPr>
              <w:spacing w:after="0"/>
              <w:rPr>
                <w:rFonts w:cs="Arial"/>
                <w:bCs/>
                <w:color w:val="auto"/>
                <w:sz w:val="22"/>
                <w:szCs w:val="22"/>
              </w:rPr>
            </w:pPr>
            <w:r w:rsidRPr="004165D8">
              <w:rPr>
                <w:rFonts w:cs="Arial"/>
                <w:bCs/>
                <w:color w:val="auto"/>
                <w:sz w:val="22"/>
                <w:szCs w:val="22"/>
              </w:rPr>
              <w:t>2019/20 (April to July)</w:t>
            </w:r>
          </w:p>
        </w:tc>
        <w:tc>
          <w:tcPr>
            <w:tcW w:w="1488" w:type="dxa"/>
            <w:tcBorders>
              <w:top w:val="single" w:sz="4" w:space="0" w:color="auto"/>
              <w:left w:val="nil"/>
              <w:bottom w:val="single" w:sz="4" w:space="0" w:color="auto"/>
              <w:right w:val="single" w:sz="4" w:space="0" w:color="auto"/>
            </w:tcBorders>
            <w:shd w:val="clear" w:color="auto" w:fill="00B0F0"/>
            <w:noWrap/>
          </w:tcPr>
          <w:p w:rsidR="004165D8" w:rsidRPr="004165D8" w:rsidRDefault="004165D8" w:rsidP="004165D8">
            <w:pPr>
              <w:spacing w:after="0"/>
              <w:jc w:val="right"/>
              <w:rPr>
                <w:rFonts w:eastAsiaTheme="minorHAnsi" w:cs="Arial"/>
                <w:color w:val="auto"/>
                <w:sz w:val="22"/>
                <w:szCs w:val="22"/>
                <w:lang w:eastAsia="en-US"/>
              </w:rPr>
            </w:pPr>
            <w:r w:rsidRPr="004165D8">
              <w:rPr>
                <w:rFonts w:eastAsiaTheme="minorHAnsi" w:cs="Arial"/>
                <w:color w:val="auto"/>
                <w:sz w:val="22"/>
                <w:szCs w:val="22"/>
                <w:lang w:eastAsia="en-US"/>
              </w:rPr>
              <w:t>Number of Cases</w:t>
            </w:r>
          </w:p>
        </w:tc>
        <w:tc>
          <w:tcPr>
            <w:tcW w:w="1488" w:type="dxa"/>
            <w:tcBorders>
              <w:top w:val="single" w:sz="4" w:space="0" w:color="auto"/>
              <w:left w:val="nil"/>
              <w:bottom w:val="single" w:sz="4" w:space="0" w:color="auto"/>
              <w:right w:val="single" w:sz="4" w:space="0" w:color="auto"/>
            </w:tcBorders>
            <w:shd w:val="clear" w:color="auto" w:fill="00B0F0"/>
            <w:noWrap/>
          </w:tcPr>
          <w:p w:rsidR="004165D8" w:rsidRPr="004165D8" w:rsidRDefault="004165D8" w:rsidP="004165D8">
            <w:pPr>
              <w:spacing w:after="0"/>
              <w:jc w:val="right"/>
              <w:rPr>
                <w:rFonts w:eastAsiaTheme="minorHAnsi" w:cs="Arial"/>
                <w:color w:val="auto"/>
                <w:sz w:val="22"/>
                <w:szCs w:val="22"/>
                <w:lang w:eastAsia="en-US"/>
              </w:rPr>
            </w:pPr>
            <w:r w:rsidRPr="004165D8">
              <w:rPr>
                <w:rFonts w:eastAsiaTheme="minorHAnsi" w:cs="Arial"/>
                <w:color w:val="auto"/>
                <w:sz w:val="22"/>
                <w:szCs w:val="22"/>
                <w:lang w:eastAsia="en-US"/>
              </w:rPr>
              <w:t>Total DTOC Days</w:t>
            </w:r>
          </w:p>
        </w:tc>
        <w:tc>
          <w:tcPr>
            <w:tcW w:w="1488" w:type="dxa"/>
            <w:tcBorders>
              <w:top w:val="single" w:sz="4" w:space="0" w:color="auto"/>
              <w:left w:val="nil"/>
              <w:bottom w:val="single" w:sz="4" w:space="0" w:color="auto"/>
              <w:right w:val="single" w:sz="4" w:space="0" w:color="auto"/>
            </w:tcBorders>
            <w:shd w:val="clear" w:color="auto" w:fill="00B0F0"/>
            <w:noWrap/>
          </w:tcPr>
          <w:p w:rsidR="004165D8" w:rsidRPr="004165D8" w:rsidRDefault="004165D8" w:rsidP="004165D8">
            <w:pPr>
              <w:spacing w:after="0"/>
              <w:jc w:val="right"/>
              <w:rPr>
                <w:rFonts w:eastAsiaTheme="minorHAnsi" w:cs="Arial"/>
                <w:color w:val="auto"/>
                <w:sz w:val="22"/>
                <w:szCs w:val="22"/>
                <w:lang w:eastAsia="en-US"/>
              </w:rPr>
            </w:pPr>
            <w:r w:rsidRPr="004165D8">
              <w:rPr>
                <w:rFonts w:eastAsiaTheme="minorHAnsi" w:cs="Arial"/>
                <w:color w:val="auto"/>
                <w:sz w:val="22"/>
                <w:szCs w:val="22"/>
                <w:lang w:eastAsia="en-US"/>
              </w:rPr>
              <w:t>Hub Bed Days</w:t>
            </w:r>
          </w:p>
        </w:tc>
        <w:tc>
          <w:tcPr>
            <w:tcW w:w="1489" w:type="dxa"/>
            <w:tcBorders>
              <w:top w:val="single" w:sz="4" w:space="0" w:color="auto"/>
              <w:left w:val="nil"/>
              <w:bottom w:val="single" w:sz="4" w:space="0" w:color="auto"/>
              <w:right w:val="single" w:sz="4" w:space="0" w:color="auto"/>
            </w:tcBorders>
            <w:shd w:val="clear" w:color="auto" w:fill="00B0F0"/>
            <w:noWrap/>
          </w:tcPr>
          <w:p w:rsidR="004165D8" w:rsidRPr="004165D8" w:rsidRDefault="004165D8" w:rsidP="004165D8">
            <w:pPr>
              <w:spacing w:after="0"/>
              <w:jc w:val="right"/>
              <w:rPr>
                <w:rFonts w:eastAsiaTheme="minorHAnsi" w:cs="Arial"/>
                <w:color w:val="auto"/>
                <w:sz w:val="22"/>
                <w:szCs w:val="22"/>
                <w:lang w:eastAsia="en-US"/>
              </w:rPr>
            </w:pPr>
            <w:r w:rsidRPr="004165D8">
              <w:rPr>
                <w:rFonts w:eastAsiaTheme="minorHAnsi" w:cs="Arial"/>
                <w:color w:val="auto"/>
                <w:sz w:val="22"/>
                <w:szCs w:val="22"/>
                <w:lang w:eastAsia="en-US"/>
              </w:rPr>
              <w:t>Average Delay</w:t>
            </w:r>
          </w:p>
        </w:tc>
      </w:tr>
      <w:tr w:rsidR="004165D8" w:rsidRPr="004165D8" w:rsidTr="004165D8">
        <w:trPr>
          <w:trHeight w:val="300"/>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65D8" w:rsidRPr="004165D8" w:rsidRDefault="004165D8" w:rsidP="004165D8">
            <w:pPr>
              <w:spacing w:after="0"/>
              <w:rPr>
                <w:rFonts w:cs="Arial"/>
                <w:sz w:val="22"/>
                <w:szCs w:val="22"/>
              </w:rPr>
            </w:pPr>
            <w:r w:rsidRPr="004165D8">
              <w:rPr>
                <w:rFonts w:cs="Arial"/>
                <w:sz w:val="22"/>
                <w:szCs w:val="22"/>
              </w:rPr>
              <w:t>Housing only</w:t>
            </w:r>
          </w:p>
        </w:tc>
        <w:tc>
          <w:tcPr>
            <w:tcW w:w="1488" w:type="dxa"/>
            <w:tcBorders>
              <w:top w:val="single" w:sz="4" w:space="0" w:color="auto"/>
              <w:left w:val="nil"/>
              <w:bottom w:val="single" w:sz="4" w:space="0" w:color="auto"/>
              <w:right w:val="single" w:sz="4" w:space="0" w:color="auto"/>
            </w:tcBorders>
            <w:shd w:val="clear" w:color="auto" w:fill="auto"/>
            <w:noWrap/>
            <w:vAlign w:val="bottom"/>
          </w:tcPr>
          <w:p w:rsidR="004165D8" w:rsidRPr="004165D8" w:rsidRDefault="004165D8" w:rsidP="004165D8">
            <w:pPr>
              <w:spacing w:after="0"/>
              <w:jc w:val="right"/>
              <w:rPr>
                <w:rFonts w:eastAsiaTheme="minorHAnsi" w:cs="Arial"/>
                <w:sz w:val="22"/>
                <w:szCs w:val="22"/>
              </w:rPr>
            </w:pPr>
            <w:r w:rsidRPr="004165D8">
              <w:rPr>
                <w:rFonts w:eastAsiaTheme="minorHAnsi" w:cs="Arial"/>
                <w:sz w:val="22"/>
                <w:szCs w:val="22"/>
              </w:rPr>
              <w:t>1</w:t>
            </w:r>
          </w:p>
        </w:tc>
        <w:tc>
          <w:tcPr>
            <w:tcW w:w="1488" w:type="dxa"/>
            <w:tcBorders>
              <w:top w:val="single" w:sz="4" w:space="0" w:color="auto"/>
              <w:left w:val="nil"/>
              <w:bottom w:val="single" w:sz="4" w:space="0" w:color="auto"/>
              <w:right w:val="single" w:sz="4" w:space="0" w:color="auto"/>
            </w:tcBorders>
            <w:shd w:val="clear" w:color="auto" w:fill="auto"/>
            <w:noWrap/>
            <w:vAlign w:val="bottom"/>
          </w:tcPr>
          <w:p w:rsidR="004165D8" w:rsidRPr="004165D8" w:rsidRDefault="004165D8" w:rsidP="004165D8">
            <w:pPr>
              <w:spacing w:after="0"/>
              <w:jc w:val="right"/>
              <w:rPr>
                <w:rFonts w:eastAsiaTheme="minorHAnsi" w:cs="Arial"/>
                <w:sz w:val="22"/>
                <w:szCs w:val="22"/>
              </w:rPr>
            </w:pPr>
            <w:r w:rsidRPr="004165D8">
              <w:rPr>
                <w:rFonts w:eastAsiaTheme="minorHAnsi" w:cs="Arial"/>
                <w:sz w:val="22"/>
                <w:szCs w:val="22"/>
              </w:rPr>
              <w:t>1</w:t>
            </w:r>
          </w:p>
        </w:tc>
        <w:tc>
          <w:tcPr>
            <w:tcW w:w="1488" w:type="dxa"/>
            <w:tcBorders>
              <w:top w:val="single" w:sz="4" w:space="0" w:color="auto"/>
              <w:left w:val="nil"/>
              <w:bottom w:val="single" w:sz="4" w:space="0" w:color="auto"/>
              <w:right w:val="single" w:sz="4" w:space="0" w:color="auto"/>
            </w:tcBorders>
            <w:shd w:val="clear" w:color="auto" w:fill="auto"/>
            <w:noWrap/>
            <w:vAlign w:val="bottom"/>
          </w:tcPr>
          <w:p w:rsidR="004165D8" w:rsidRPr="004165D8" w:rsidRDefault="004165D8" w:rsidP="004165D8">
            <w:pPr>
              <w:spacing w:after="0"/>
              <w:jc w:val="right"/>
              <w:rPr>
                <w:rFonts w:eastAsiaTheme="minorHAnsi" w:cs="Arial"/>
                <w:sz w:val="22"/>
                <w:szCs w:val="22"/>
              </w:rPr>
            </w:pPr>
            <w:r w:rsidRPr="004165D8">
              <w:rPr>
                <w:rFonts w:eastAsiaTheme="minorHAnsi" w:cs="Arial"/>
                <w:sz w:val="22"/>
                <w:szCs w:val="22"/>
              </w:rPr>
              <w:t>0</w:t>
            </w:r>
          </w:p>
        </w:tc>
        <w:tc>
          <w:tcPr>
            <w:tcW w:w="1489" w:type="dxa"/>
            <w:tcBorders>
              <w:top w:val="single" w:sz="4" w:space="0" w:color="auto"/>
              <w:left w:val="nil"/>
              <w:bottom w:val="single" w:sz="4" w:space="0" w:color="auto"/>
              <w:right w:val="single" w:sz="4" w:space="0" w:color="auto"/>
            </w:tcBorders>
            <w:shd w:val="clear" w:color="auto" w:fill="auto"/>
            <w:noWrap/>
            <w:vAlign w:val="bottom"/>
          </w:tcPr>
          <w:p w:rsidR="004165D8" w:rsidRPr="004165D8" w:rsidRDefault="004165D8" w:rsidP="004165D8">
            <w:pPr>
              <w:spacing w:after="0"/>
              <w:jc w:val="right"/>
              <w:rPr>
                <w:rFonts w:eastAsiaTheme="minorHAnsi" w:cs="Arial"/>
                <w:sz w:val="22"/>
                <w:szCs w:val="22"/>
              </w:rPr>
            </w:pPr>
            <w:r w:rsidRPr="004165D8">
              <w:rPr>
                <w:rFonts w:eastAsiaTheme="minorHAnsi" w:cs="Arial"/>
                <w:sz w:val="22"/>
                <w:szCs w:val="22"/>
              </w:rPr>
              <w:t>1.00</w:t>
            </w:r>
          </w:p>
        </w:tc>
      </w:tr>
      <w:tr w:rsidR="004165D8" w:rsidRPr="004165D8" w:rsidTr="004165D8">
        <w:trPr>
          <w:trHeight w:val="300"/>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65D8" w:rsidRPr="004165D8" w:rsidRDefault="004165D8" w:rsidP="004165D8">
            <w:pPr>
              <w:spacing w:after="0"/>
              <w:rPr>
                <w:rFonts w:cs="Arial"/>
                <w:sz w:val="22"/>
                <w:szCs w:val="22"/>
              </w:rPr>
            </w:pPr>
            <w:r w:rsidRPr="004165D8">
              <w:rPr>
                <w:rFonts w:cs="Arial"/>
                <w:sz w:val="22"/>
                <w:szCs w:val="22"/>
              </w:rPr>
              <w:t>Housing (</w:t>
            </w:r>
            <w:proofErr w:type="spellStart"/>
            <w:r w:rsidRPr="004165D8">
              <w:rPr>
                <w:rFonts w:cs="Arial"/>
                <w:sz w:val="22"/>
                <w:szCs w:val="22"/>
              </w:rPr>
              <w:t>inc</w:t>
            </w:r>
            <w:proofErr w:type="spellEnd"/>
            <w:r w:rsidRPr="004165D8">
              <w:rPr>
                <w:rFonts w:cs="Arial"/>
                <w:sz w:val="22"/>
                <w:szCs w:val="22"/>
              </w:rPr>
              <w:t xml:space="preserve"> Hub)</w:t>
            </w:r>
          </w:p>
        </w:tc>
        <w:tc>
          <w:tcPr>
            <w:tcW w:w="1488" w:type="dxa"/>
            <w:tcBorders>
              <w:top w:val="single" w:sz="4" w:space="0" w:color="auto"/>
              <w:left w:val="nil"/>
              <w:bottom w:val="single" w:sz="4" w:space="0" w:color="auto"/>
              <w:right w:val="single" w:sz="4" w:space="0" w:color="auto"/>
            </w:tcBorders>
            <w:shd w:val="clear" w:color="auto" w:fill="auto"/>
            <w:noWrap/>
            <w:vAlign w:val="bottom"/>
          </w:tcPr>
          <w:p w:rsidR="004165D8" w:rsidRPr="004165D8" w:rsidRDefault="004165D8" w:rsidP="004165D8">
            <w:pPr>
              <w:spacing w:after="0"/>
              <w:jc w:val="right"/>
              <w:rPr>
                <w:rFonts w:eastAsiaTheme="minorHAnsi" w:cs="Arial"/>
                <w:sz w:val="22"/>
                <w:szCs w:val="22"/>
              </w:rPr>
            </w:pPr>
            <w:r w:rsidRPr="004165D8">
              <w:rPr>
                <w:rFonts w:eastAsiaTheme="minorHAnsi" w:cs="Arial"/>
                <w:sz w:val="22"/>
                <w:szCs w:val="22"/>
              </w:rPr>
              <w:t>0</w:t>
            </w:r>
          </w:p>
        </w:tc>
        <w:tc>
          <w:tcPr>
            <w:tcW w:w="1488" w:type="dxa"/>
            <w:tcBorders>
              <w:top w:val="single" w:sz="4" w:space="0" w:color="auto"/>
              <w:left w:val="nil"/>
              <w:bottom w:val="single" w:sz="4" w:space="0" w:color="auto"/>
              <w:right w:val="single" w:sz="4" w:space="0" w:color="auto"/>
            </w:tcBorders>
            <w:shd w:val="clear" w:color="auto" w:fill="auto"/>
            <w:noWrap/>
            <w:vAlign w:val="bottom"/>
          </w:tcPr>
          <w:p w:rsidR="004165D8" w:rsidRPr="004165D8" w:rsidRDefault="004165D8" w:rsidP="004165D8">
            <w:pPr>
              <w:spacing w:after="0"/>
              <w:jc w:val="right"/>
              <w:rPr>
                <w:rFonts w:eastAsiaTheme="minorHAnsi" w:cs="Arial"/>
                <w:sz w:val="22"/>
                <w:szCs w:val="22"/>
              </w:rPr>
            </w:pPr>
            <w:r w:rsidRPr="004165D8">
              <w:rPr>
                <w:rFonts w:eastAsiaTheme="minorHAnsi" w:cs="Arial"/>
                <w:sz w:val="22"/>
                <w:szCs w:val="22"/>
              </w:rPr>
              <w:t>0</w:t>
            </w:r>
          </w:p>
        </w:tc>
        <w:tc>
          <w:tcPr>
            <w:tcW w:w="1488" w:type="dxa"/>
            <w:tcBorders>
              <w:top w:val="single" w:sz="4" w:space="0" w:color="auto"/>
              <w:left w:val="nil"/>
              <w:bottom w:val="single" w:sz="4" w:space="0" w:color="auto"/>
              <w:right w:val="single" w:sz="4" w:space="0" w:color="auto"/>
            </w:tcBorders>
            <w:shd w:val="clear" w:color="auto" w:fill="auto"/>
            <w:noWrap/>
            <w:vAlign w:val="bottom"/>
          </w:tcPr>
          <w:p w:rsidR="004165D8" w:rsidRPr="004165D8" w:rsidRDefault="004165D8" w:rsidP="004165D8">
            <w:pPr>
              <w:spacing w:after="0"/>
              <w:jc w:val="right"/>
              <w:rPr>
                <w:rFonts w:eastAsiaTheme="minorHAnsi" w:cs="Arial"/>
                <w:sz w:val="22"/>
                <w:szCs w:val="22"/>
              </w:rPr>
            </w:pPr>
            <w:r w:rsidRPr="004165D8">
              <w:rPr>
                <w:rFonts w:eastAsiaTheme="minorHAnsi" w:cs="Arial"/>
                <w:sz w:val="22"/>
                <w:szCs w:val="22"/>
              </w:rPr>
              <w:t>0</w:t>
            </w:r>
          </w:p>
        </w:tc>
        <w:tc>
          <w:tcPr>
            <w:tcW w:w="1489" w:type="dxa"/>
            <w:tcBorders>
              <w:top w:val="single" w:sz="4" w:space="0" w:color="auto"/>
              <w:left w:val="nil"/>
              <w:bottom w:val="single" w:sz="4" w:space="0" w:color="auto"/>
              <w:right w:val="single" w:sz="4" w:space="0" w:color="auto"/>
            </w:tcBorders>
            <w:shd w:val="clear" w:color="auto" w:fill="auto"/>
            <w:noWrap/>
            <w:vAlign w:val="bottom"/>
          </w:tcPr>
          <w:p w:rsidR="004165D8" w:rsidRPr="004165D8" w:rsidRDefault="004165D8" w:rsidP="004165D8">
            <w:pPr>
              <w:spacing w:after="0"/>
              <w:jc w:val="right"/>
              <w:rPr>
                <w:rFonts w:eastAsiaTheme="minorHAnsi" w:cs="Arial"/>
                <w:sz w:val="22"/>
                <w:szCs w:val="22"/>
              </w:rPr>
            </w:pPr>
            <w:r w:rsidRPr="004165D8">
              <w:rPr>
                <w:rFonts w:eastAsiaTheme="minorHAnsi" w:cs="Arial"/>
                <w:sz w:val="22"/>
                <w:szCs w:val="22"/>
              </w:rPr>
              <w:t>0.00</w:t>
            </w:r>
          </w:p>
        </w:tc>
      </w:tr>
      <w:tr w:rsidR="004165D8" w:rsidRPr="004165D8" w:rsidTr="004165D8">
        <w:trPr>
          <w:trHeight w:val="300"/>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65D8" w:rsidRPr="004165D8" w:rsidRDefault="004165D8" w:rsidP="004165D8">
            <w:pPr>
              <w:spacing w:after="0"/>
              <w:rPr>
                <w:rFonts w:cs="Arial"/>
                <w:sz w:val="22"/>
                <w:szCs w:val="22"/>
              </w:rPr>
            </w:pPr>
            <w:r w:rsidRPr="004165D8">
              <w:rPr>
                <w:rFonts w:cs="Arial"/>
                <w:sz w:val="22"/>
                <w:szCs w:val="22"/>
              </w:rPr>
              <w:t>Multiple Reasons</w:t>
            </w:r>
          </w:p>
        </w:tc>
        <w:tc>
          <w:tcPr>
            <w:tcW w:w="1488" w:type="dxa"/>
            <w:tcBorders>
              <w:top w:val="single" w:sz="4" w:space="0" w:color="auto"/>
              <w:left w:val="nil"/>
              <w:bottom w:val="single" w:sz="4" w:space="0" w:color="auto"/>
              <w:right w:val="single" w:sz="4" w:space="0" w:color="auto"/>
            </w:tcBorders>
            <w:shd w:val="clear" w:color="auto" w:fill="auto"/>
            <w:noWrap/>
            <w:vAlign w:val="bottom"/>
          </w:tcPr>
          <w:p w:rsidR="004165D8" w:rsidRPr="004165D8" w:rsidRDefault="004165D8" w:rsidP="004165D8">
            <w:pPr>
              <w:spacing w:after="0"/>
              <w:jc w:val="right"/>
              <w:rPr>
                <w:rFonts w:eastAsiaTheme="minorHAnsi" w:cs="Arial"/>
                <w:sz w:val="22"/>
                <w:szCs w:val="22"/>
              </w:rPr>
            </w:pPr>
            <w:r w:rsidRPr="004165D8">
              <w:rPr>
                <w:rFonts w:eastAsiaTheme="minorHAnsi" w:cs="Arial"/>
                <w:sz w:val="22"/>
                <w:szCs w:val="22"/>
              </w:rPr>
              <w:t>2</w:t>
            </w:r>
          </w:p>
        </w:tc>
        <w:tc>
          <w:tcPr>
            <w:tcW w:w="1488" w:type="dxa"/>
            <w:tcBorders>
              <w:top w:val="single" w:sz="4" w:space="0" w:color="auto"/>
              <w:left w:val="nil"/>
              <w:bottom w:val="single" w:sz="4" w:space="0" w:color="auto"/>
              <w:right w:val="single" w:sz="4" w:space="0" w:color="auto"/>
            </w:tcBorders>
            <w:shd w:val="clear" w:color="auto" w:fill="auto"/>
            <w:noWrap/>
            <w:vAlign w:val="bottom"/>
          </w:tcPr>
          <w:p w:rsidR="004165D8" w:rsidRPr="004165D8" w:rsidRDefault="004165D8" w:rsidP="004165D8">
            <w:pPr>
              <w:spacing w:after="0"/>
              <w:jc w:val="right"/>
              <w:rPr>
                <w:rFonts w:eastAsiaTheme="minorHAnsi" w:cs="Arial"/>
                <w:sz w:val="22"/>
                <w:szCs w:val="22"/>
              </w:rPr>
            </w:pPr>
            <w:r w:rsidRPr="004165D8">
              <w:rPr>
                <w:rFonts w:eastAsiaTheme="minorHAnsi" w:cs="Arial"/>
                <w:sz w:val="22"/>
                <w:szCs w:val="22"/>
              </w:rPr>
              <w:t>191</w:t>
            </w:r>
          </w:p>
        </w:tc>
        <w:tc>
          <w:tcPr>
            <w:tcW w:w="1488" w:type="dxa"/>
            <w:tcBorders>
              <w:top w:val="single" w:sz="4" w:space="0" w:color="auto"/>
              <w:left w:val="nil"/>
              <w:bottom w:val="single" w:sz="4" w:space="0" w:color="auto"/>
              <w:right w:val="single" w:sz="4" w:space="0" w:color="auto"/>
            </w:tcBorders>
            <w:shd w:val="clear" w:color="auto" w:fill="auto"/>
            <w:noWrap/>
            <w:vAlign w:val="bottom"/>
          </w:tcPr>
          <w:p w:rsidR="004165D8" w:rsidRPr="004165D8" w:rsidRDefault="004165D8" w:rsidP="004165D8">
            <w:pPr>
              <w:spacing w:after="0"/>
              <w:jc w:val="right"/>
              <w:rPr>
                <w:rFonts w:eastAsiaTheme="minorHAnsi" w:cs="Arial"/>
                <w:sz w:val="22"/>
                <w:szCs w:val="22"/>
              </w:rPr>
            </w:pPr>
            <w:r w:rsidRPr="004165D8">
              <w:rPr>
                <w:rFonts w:eastAsiaTheme="minorHAnsi" w:cs="Arial"/>
                <w:sz w:val="22"/>
                <w:szCs w:val="22"/>
              </w:rPr>
              <w:t>0</w:t>
            </w:r>
          </w:p>
        </w:tc>
        <w:tc>
          <w:tcPr>
            <w:tcW w:w="1489" w:type="dxa"/>
            <w:tcBorders>
              <w:top w:val="single" w:sz="4" w:space="0" w:color="auto"/>
              <w:left w:val="nil"/>
              <w:bottom w:val="single" w:sz="4" w:space="0" w:color="auto"/>
              <w:right w:val="single" w:sz="4" w:space="0" w:color="auto"/>
            </w:tcBorders>
            <w:shd w:val="clear" w:color="auto" w:fill="auto"/>
            <w:noWrap/>
            <w:vAlign w:val="bottom"/>
          </w:tcPr>
          <w:p w:rsidR="004165D8" w:rsidRPr="004165D8" w:rsidRDefault="004165D8" w:rsidP="004165D8">
            <w:pPr>
              <w:spacing w:after="0"/>
              <w:jc w:val="right"/>
              <w:rPr>
                <w:rFonts w:eastAsiaTheme="minorHAnsi" w:cs="Arial"/>
                <w:sz w:val="22"/>
                <w:szCs w:val="22"/>
              </w:rPr>
            </w:pPr>
            <w:r w:rsidRPr="004165D8">
              <w:rPr>
                <w:rFonts w:eastAsiaTheme="minorHAnsi" w:cs="Arial"/>
                <w:sz w:val="22"/>
                <w:szCs w:val="22"/>
              </w:rPr>
              <w:t>95.50</w:t>
            </w:r>
          </w:p>
        </w:tc>
      </w:tr>
      <w:tr w:rsidR="004165D8" w:rsidRPr="004165D8" w:rsidTr="004165D8">
        <w:trPr>
          <w:trHeight w:val="300"/>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65D8" w:rsidRPr="004165D8" w:rsidRDefault="004165D8" w:rsidP="004165D8">
            <w:pPr>
              <w:spacing w:after="0"/>
              <w:rPr>
                <w:rFonts w:cs="Arial"/>
                <w:sz w:val="22"/>
                <w:szCs w:val="22"/>
              </w:rPr>
            </w:pPr>
            <w:r w:rsidRPr="004165D8">
              <w:rPr>
                <w:rFonts w:cs="Arial"/>
                <w:sz w:val="22"/>
                <w:szCs w:val="22"/>
              </w:rPr>
              <w:t>Multiple (</w:t>
            </w:r>
            <w:proofErr w:type="spellStart"/>
            <w:r w:rsidRPr="004165D8">
              <w:rPr>
                <w:rFonts w:cs="Arial"/>
                <w:sz w:val="22"/>
                <w:szCs w:val="22"/>
              </w:rPr>
              <w:t>inc</w:t>
            </w:r>
            <w:proofErr w:type="spellEnd"/>
            <w:r w:rsidRPr="004165D8">
              <w:rPr>
                <w:rFonts w:cs="Arial"/>
                <w:sz w:val="22"/>
                <w:szCs w:val="22"/>
              </w:rPr>
              <w:t xml:space="preserve"> Hub)</w:t>
            </w:r>
          </w:p>
        </w:tc>
        <w:tc>
          <w:tcPr>
            <w:tcW w:w="1488" w:type="dxa"/>
            <w:tcBorders>
              <w:top w:val="single" w:sz="4" w:space="0" w:color="auto"/>
              <w:left w:val="nil"/>
              <w:bottom w:val="single" w:sz="4" w:space="0" w:color="auto"/>
              <w:right w:val="single" w:sz="4" w:space="0" w:color="auto"/>
            </w:tcBorders>
            <w:shd w:val="clear" w:color="auto" w:fill="auto"/>
            <w:noWrap/>
            <w:vAlign w:val="bottom"/>
          </w:tcPr>
          <w:p w:rsidR="004165D8" w:rsidRPr="004165D8" w:rsidRDefault="004165D8" w:rsidP="004165D8">
            <w:pPr>
              <w:spacing w:after="0"/>
              <w:jc w:val="right"/>
              <w:rPr>
                <w:rFonts w:eastAsiaTheme="minorHAnsi" w:cs="Arial"/>
                <w:sz w:val="22"/>
                <w:szCs w:val="22"/>
              </w:rPr>
            </w:pPr>
            <w:r w:rsidRPr="004165D8">
              <w:rPr>
                <w:rFonts w:eastAsiaTheme="minorHAnsi" w:cs="Arial"/>
                <w:sz w:val="22"/>
                <w:szCs w:val="22"/>
              </w:rPr>
              <w:t>0</w:t>
            </w:r>
          </w:p>
        </w:tc>
        <w:tc>
          <w:tcPr>
            <w:tcW w:w="1488" w:type="dxa"/>
            <w:tcBorders>
              <w:top w:val="single" w:sz="4" w:space="0" w:color="auto"/>
              <w:left w:val="nil"/>
              <w:bottom w:val="single" w:sz="4" w:space="0" w:color="auto"/>
              <w:right w:val="single" w:sz="4" w:space="0" w:color="auto"/>
            </w:tcBorders>
            <w:shd w:val="clear" w:color="auto" w:fill="auto"/>
            <w:noWrap/>
            <w:vAlign w:val="bottom"/>
          </w:tcPr>
          <w:p w:rsidR="004165D8" w:rsidRPr="004165D8" w:rsidRDefault="004165D8" w:rsidP="004165D8">
            <w:pPr>
              <w:spacing w:after="0"/>
              <w:jc w:val="right"/>
              <w:rPr>
                <w:rFonts w:eastAsiaTheme="minorHAnsi" w:cs="Arial"/>
                <w:sz w:val="22"/>
                <w:szCs w:val="22"/>
              </w:rPr>
            </w:pPr>
            <w:r w:rsidRPr="004165D8">
              <w:rPr>
                <w:rFonts w:eastAsiaTheme="minorHAnsi" w:cs="Arial"/>
                <w:sz w:val="22"/>
                <w:szCs w:val="22"/>
              </w:rPr>
              <w:t>0</w:t>
            </w:r>
          </w:p>
        </w:tc>
        <w:tc>
          <w:tcPr>
            <w:tcW w:w="1488" w:type="dxa"/>
            <w:tcBorders>
              <w:top w:val="single" w:sz="4" w:space="0" w:color="auto"/>
              <w:left w:val="nil"/>
              <w:bottom w:val="single" w:sz="4" w:space="0" w:color="auto"/>
              <w:right w:val="single" w:sz="4" w:space="0" w:color="auto"/>
            </w:tcBorders>
            <w:shd w:val="clear" w:color="auto" w:fill="auto"/>
            <w:noWrap/>
            <w:vAlign w:val="bottom"/>
          </w:tcPr>
          <w:p w:rsidR="004165D8" w:rsidRPr="004165D8" w:rsidRDefault="004165D8" w:rsidP="004165D8">
            <w:pPr>
              <w:spacing w:after="0"/>
              <w:jc w:val="right"/>
              <w:rPr>
                <w:rFonts w:eastAsiaTheme="minorHAnsi" w:cs="Arial"/>
                <w:sz w:val="22"/>
                <w:szCs w:val="22"/>
              </w:rPr>
            </w:pPr>
            <w:r w:rsidRPr="004165D8">
              <w:rPr>
                <w:rFonts w:eastAsiaTheme="minorHAnsi" w:cs="Arial"/>
                <w:sz w:val="22"/>
                <w:szCs w:val="22"/>
              </w:rPr>
              <w:t>0</w:t>
            </w:r>
          </w:p>
        </w:tc>
        <w:tc>
          <w:tcPr>
            <w:tcW w:w="1489" w:type="dxa"/>
            <w:tcBorders>
              <w:top w:val="single" w:sz="4" w:space="0" w:color="auto"/>
              <w:left w:val="nil"/>
              <w:bottom w:val="single" w:sz="4" w:space="0" w:color="auto"/>
              <w:right w:val="single" w:sz="4" w:space="0" w:color="auto"/>
            </w:tcBorders>
            <w:shd w:val="clear" w:color="auto" w:fill="auto"/>
            <w:noWrap/>
            <w:vAlign w:val="bottom"/>
          </w:tcPr>
          <w:p w:rsidR="004165D8" w:rsidRPr="004165D8" w:rsidRDefault="004165D8" w:rsidP="004165D8">
            <w:pPr>
              <w:spacing w:after="0"/>
              <w:jc w:val="right"/>
              <w:rPr>
                <w:rFonts w:eastAsiaTheme="minorHAnsi" w:cs="Arial"/>
                <w:sz w:val="22"/>
                <w:szCs w:val="22"/>
              </w:rPr>
            </w:pPr>
            <w:r w:rsidRPr="004165D8">
              <w:rPr>
                <w:rFonts w:eastAsiaTheme="minorHAnsi" w:cs="Arial"/>
                <w:sz w:val="22"/>
                <w:szCs w:val="22"/>
              </w:rPr>
              <w:t>0.00</w:t>
            </w:r>
          </w:p>
        </w:tc>
      </w:tr>
      <w:tr w:rsidR="004165D8" w:rsidRPr="004165D8" w:rsidTr="004165D8">
        <w:trPr>
          <w:trHeight w:val="300"/>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65D8" w:rsidRPr="004165D8" w:rsidRDefault="004165D8" w:rsidP="004165D8">
            <w:pPr>
              <w:spacing w:after="0"/>
              <w:rPr>
                <w:rFonts w:cs="Arial"/>
                <w:b/>
                <w:sz w:val="22"/>
                <w:szCs w:val="22"/>
              </w:rPr>
            </w:pPr>
            <w:r w:rsidRPr="004165D8">
              <w:rPr>
                <w:rFonts w:cs="Arial"/>
                <w:b/>
                <w:sz w:val="22"/>
                <w:szCs w:val="22"/>
              </w:rPr>
              <w:t>TOTAL</w:t>
            </w:r>
          </w:p>
        </w:tc>
        <w:tc>
          <w:tcPr>
            <w:tcW w:w="1488" w:type="dxa"/>
            <w:tcBorders>
              <w:top w:val="single" w:sz="4" w:space="0" w:color="auto"/>
              <w:left w:val="nil"/>
              <w:bottom w:val="single" w:sz="4" w:space="0" w:color="auto"/>
              <w:right w:val="single" w:sz="4" w:space="0" w:color="auto"/>
            </w:tcBorders>
            <w:shd w:val="clear" w:color="auto" w:fill="auto"/>
            <w:noWrap/>
            <w:vAlign w:val="bottom"/>
          </w:tcPr>
          <w:p w:rsidR="004165D8" w:rsidRPr="004165D8" w:rsidRDefault="004165D8" w:rsidP="004165D8">
            <w:pPr>
              <w:spacing w:after="0"/>
              <w:jc w:val="right"/>
              <w:rPr>
                <w:rFonts w:eastAsiaTheme="minorHAnsi" w:cs="Arial"/>
                <w:b/>
                <w:sz w:val="22"/>
                <w:szCs w:val="22"/>
              </w:rPr>
            </w:pPr>
            <w:r w:rsidRPr="004165D8">
              <w:rPr>
                <w:rFonts w:eastAsiaTheme="minorHAnsi" w:cs="Arial"/>
                <w:b/>
                <w:sz w:val="22"/>
                <w:szCs w:val="22"/>
              </w:rPr>
              <w:t>3</w:t>
            </w:r>
          </w:p>
        </w:tc>
        <w:tc>
          <w:tcPr>
            <w:tcW w:w="1488" w:type="dxa"/>
            <w:tcBorders>
              <w:top w:val="single" w:sz="4" w:space="0" w:color="auto"/>
              <w:left w:val="nil"/>
              <w:bottom w:val="single" w:sz="4" w:space="0" w:color="auto"/>
              <w:right w:val="single" w:sz="4" w:space="0" w:color="auto"/>
            </w:tcBorders>
            <w:shd w:val="clear" w:color="auto" w:fill="auto"/>
            <w:noWrap/>
            <w:vAlign w:val="bottom"/>
          </w:tcPr>
          <w:p w:rsidR="004165D8" w:rsidRPr="004165D8" w:rsidRDefault="004165D8" w:rsidP="004165D8">
            <w:pPr>
              <w:spacing w:after="0"/>
              <w:jc w:val="right"/>
              <w:rPr>
                <w:rFonts w:eastAsiaTheme="minorHAnsi" w:cs="Arial"/>
                <w:b/>
                <w:sz w:val="22"/>
                <w:szCs w:val="22"/>
              </w:rPr>
            </w:pPr>
            <w:r w:rsidRPr="004165D8">
              <w:rPr>
                <w:rFonts w:eastAsiaTheme="minorHAnsi" w:cs="Arial"/>
                <w:b/>
                <w:sz w:val="22"/>
                <w:szCs w:val="22"/>
              </w:rPr>
              <w:t>192</w:t>
            </w:r>
          </w:p>
        </w:tc>
        <w:tc>
          <w:tcPr>
            <w:tcW w:w="1488" w:type="dxa"/>
            <w:tcBorders>
              <w:top w:val="single" w:sz="4" w:space="0" w:color="auto"/>
              <w:left w:val="nil"/>
              <w:bottom w:val="single" w:sz="4" w:space="0" w:color="auto"/>
              <w:right w:val="single" w:sz="4" w:space="0" w:color="auto"/>
            </w:tcBorders>
            <w:shd w:val="clear" w:color="auto" w:fill="auto"/>
            <w:noWrap/>
            <w:vAlign w:val="bottom"/>
          </w:tcPr>
          <w:p w:rsidR="004165D8" w:rsidRPr="004165D8" w:rsidRDefault="004165D8" w:rsidP="004165D8">
            <w:pPr>
              <w:spacing w:after="0"/>
              <w:jc w:val="right"/>
              <w:rPr>
                <w:rFonts w:eastAsiaTheme="minorHAnsi" w:cs="Arial"/>
                <w:b/>
                <w:sz w:val="22"/>
                <w:szCs w:val="22"/>
              </w:rPr>
            </w:pPr>
            <w:r w:rsidRPr="004165D8">
              <w:rPr>
                <w:rFonts w:eastAsiaTheme="minorHAnsi" w:cs="Arial"/>
                <w:b/>
                <w:sz w:val="22"/>
                <w:szCs w:val="22"/>
              </w:rPr>
              <w:t>0</w:t>
            </w:r>
          </w:p>
        </w:tc>
        <w:tc>
          <w:tcPr>
            <w:tcW w:w="1489" w:type="dxa"/>
            <w:tcBorders>
              <w:top w:val="single" w:sz="4" w:space="0" w:color="auto"/>
              <w:left w:val="nil"/>
              <w:bottom w:val="single" w:sz="4" w:space="0" w:color="auto"/>
              <w:right w:val="single" w:sz="4" w:space="0" w:color="auto"/>
            </w:tcBorders>
            <w:shd w:val="clear" w:color="auto" w:fill="auto"/>
            <w:noWrap/>
            <w:vAlign w:val="bottom"/>
          </w:tcPr>
          <w:p w:rsidR="004165D8" w:rsidRPr="004165D8" w:rsidRDefault="004165D8" w:rsidP="004165D8">
            <w:pPr>
              <w:spacing w:after="0"/>
              <w:jc w:val="right"/>
              <w:rPr>
                <w:rFonts w:eastAsiaTheme="minorHAnsi" w:cs="Arial"/>
                <w:b/>
                <w:sz w:val="22"/>
                <w:szCs w:val="22"/>
              </w:rPr>
            </w:pPr>
          </w:p>
        </w:tc>
      </w:tr>
    </w:tbl>
    <w:p w:rsidR="004165D8" w:rsidRPr="004165D8" w:rsidRDefault="004165D8" w:rsidP="004165D8">
      <w:pPr>
        <w:tabs>
          <w:tab w:val="left" w:pos="3030"/>
        </w:tabs>
        <w:spacing w:after="0"/>
        <w:rPr>
          <w:rFonts w:eastAsiaTheme="minorHAnsi" w:cs="Arial"/>
          <w:color w:val="auto"/>
          <w:sz w:val="22"/>
          <w:szCs w:val="22"/>
          <w:lang w:eastAsia="en-US"/>
        </w:rPr>
      </w:pPr>
    </w:p>
    <w:p w:rsidR="004165D8" w:rsidRPr="004165D8" w:rsidRDefault="004165D8" w:rsidP="004165D8">
      <w:pPr>
        <w:tabs>
          <w:tab w:val="left" w:pos="3030"/>
        </w:tabs>
        <w:spacing w:after="0"/>
        <w:rPr>
          <w:rFonts w:eastAsiaTheme="minorHAnsi" w:cs="Arial"/>
          <w:color w:val="auto"/>
          <w:sz w:val="22"/>
          <w:szCs w:val="22"/>
          <w:lang w:eastAsia="en-US"/>
        </w:rPr>
      </w:pPr>
      <w:r w:rsidRPr="004165D8">
        <w:rPr>
          <w:rFonts w:eastAsiaTheme="minorHAnsi" w:cs="Arial"/>
          <w:color w:val="auto"/>
          <w:sz w:val="22"/>
          <w:szCs w:val="22"/>
          <w:lang w:eastAsia="en-US"/>
        </w:rPr>
        <w:t xml:space="preserve">Across OUH we saw a 38% in the number of DTOC days (434 less) as a result of a known housing issue when the data for 2018/19 was compared to the previous year. However, there </w:t>
      </w:r>
      <w:proofErr w:type="gramStart"/>
      <w:r w:rsidRPr="004165D8">
        <w:rPr>
          <w:rFonts w:eastAsiaTheme="minorHAnsi" w:cs="Arial"/>
          <w:color w:val="auto"/>
          <w:sz w:val="22"/>
          <w:szCs w:val="22"/>
          <w:lang w:eastAsia="en-US"/>
        </w:rPr>
        <w:t>remains</w:t>
      </w:r>
      <w:proofErr w:type="gramEnd"/>
      <w:r w:rsidRPr="004165D8">
        <w:rPr>
          <w:rFonts w:eastAsiaTheme="minorHAnsi" w:cs="Arial"/>
          <w:color w:val="auto"/>
          <w:sz w:val="22"/>
          <w:szCs w:val="22"/>
          <w:lang w:eastAsia="en-US"/>
        </w:rPr>
        <w:t xml:space="preserve"> a relatively high number of cases where housing is provided as a reason for delay. Because of the broad definition of this category it is likely that a number of these cases actually relate to individuals that are single homeless with no fixed address. </w:t>
      </w:r>
    </w:p>
    <w:p w:rsidR="004165D8" w:rsidRPr="004165D8" w:rsidRDefault="004165D8" w:rsidP="004165D8">
      <w:pPr>
        <w:tabs>
          <w:tab w:val="left" w:pos="3030"/>
        </w:tabs>
        <w:spacing w:after="0"/>
        <w:rPr>
          <w:rFonts w:eastAsiaTheme="minorHAnsi" w:cs="Arial"/>
          <w:color w:val="auto"/>
          <w:sz w:val="22"/>
          <w:szCs w:val="22"/>
          <w:lang w:eastAsia="en-US"/>
        </w:rPr>
      </w:pPr>
    </w:p>
    <w:p w:rsidR="004165D8" w:rsidRDefault="004165D8" w:rsidP="004165D8">
      <w:pPr>
        <w:tabs>
          <w:tab w:val="left" w:pos="3030"/>
        </w:tabs>
        <w:spacing w:after="0"/>
        <w:rPr>
          <w:rFonts w:eastAsiaTheme="minorHAnsi" w:cs="Arial"/>
          <w:color w:val="auto"/>
          <w:sz w:val="22"/>
          <w:szCs w:val="22"/>
          <w:lang w:eastAsia="en-US"/>
        </w:rPr>
      </w:pPr>
      <w:r w:rsidRPr="004165D8">
        <w:rPr>
          <w:rFonts w:eastAsiaTheme="minorHAnsi" w:cs="Arial"/>
          <w:color w:val="auto"/>
          <w:sz w:val="22"/>
          <w:szCs w:val="22"/>
          <w:lang w:eastAsia="en-US"/>
        </w:rPr>
        <w:t>The data connected to 2019/20 indicates that there appears to be a continued reduction in the number of DTOC cases being seen across the trust (3 cases in 4 months). However, the cases that still result in a delay appear to complex cases owing to the length of DTOC.</w:t>
      </w:r>
    </w:p>
    <w:p w:rsidR="00426B52" w:rsidRPr="004165D8" w:rsidRDefault="00426B52" w:rsidP="004165D8">
      <w:pPr>
        <w:tabs>
          <w:tab w:val="left" w:pos="3030"/>
        </w:tabs>
        <w:spacing w:after="0"/>
        <w:rPr>
          <w:rFonts w:eastAsiaTheme="minorHAnsi" w:cs="Arial"/>
          <w:color w:val="auto"/>
          <w:sz w:val="22"/>
          <w:szCs w:val="22"/>
          <w:lang w:eastAsia="en-US"/>
        </w:rPr>
      </w:pPr>
    </w:p>
    <w:p w:rsidR="004165D8" w:rsidRPr="004165D8" w:rsidRDefault="004165D8" w:rsidP="004165D8">
      <w:pPr>
        <w:tabs>
          <w:tab w:val="left" w:pos="3030"/>
        </w:tabs>
        <w:spacing w:after="0"/>
        <w:rPr>
          <w:rFonts w:eastAsiaTheme="minorHAnsi" w:cs="Arial"/>
          <w:b/>
          <w:color w:val="auto"/>
          <w:sz w:val="22"/>
          <w:szCs w:val="22"/>
          <w:lang w:eastAsia="en-US"/>
        </w:rPr>
      </w:pPr>
      <w:r w:rsidRPr="004165D8">
        <w:rPr>
          <w:rFonts w:eastAsiaTheme="minorHAnsi" w:cs="Arial"/>
          <w:b/>
          <w:color w:val="auto"/>
          <w:sz w:val="22"/>
          <w:szCs w:val="22"/>
          <w:lang w:eastAsia="en-US"/>
        </w:rPr>
        <w:lastRenderedPageBreak/>
        <w:t>Oxford Health NHS Trust</w:t>
      </w:r>
    </w:p>
    <w:p w:rsidR="004165D8" w:rsidRPr="004165D8" w:rsidRDefault="004165D8" w:rsidP="004165D8">
      <w:pPr>
        <w:tabs>
          <w:tab w:val="left" w:pos="3030"/>
        </w:tabs>
        <w:spacing w:after="0"/>
        <w:rPr>
          <w:rFonts w:eastAsiaTheme="minorHAnsi" w:cs="Arial"/>
          <w:color w:val="auto"/>
          <w:sz w:val="22"/>
          <w:szCs w:val="22"/>
          <w:lang w:eastAsia="en-US"/>
        </w:rPr>
      </w:pPr>
    </w:p>
    <w:tbl>
      <w:tblPr>
        <w:tblW w:w="9149" w:type="dxa"/>
        <w:tblInd w:w="93" w:type="dxa"/>
        <w:tblLayout w:type="fixed"/>
        <w:tblLook w:val="04A0" w:firstRow="1" w:lastRow="0" w:firstColumn="1" w:lastColumn="0" w:noHBand="0" w:noVBand="1"/>
      </w:tblPr>
      <w:tblGrid>
        <w:gridCol w:w="3087"/>
        <w:gridCol w:w="47"/>
        <w:gridCol w:w="1468"/>
        <w:gridCol w:w="20"/>
        <w:gridCol w:w="1488"/>
        <w:gridCol w:w="8"/>
        <w:gridCol w:w="1480"/>
        <w:gridCol w:w="35"/>
        <w:gridCol w:w="1454"/>
        <w:gridCol w:w="62"/>
      </w:tblGrid>
      <w:tr w:rsidR="004165D8" w:rsidRPr="004165D8" w:rsidTr="004165D8">
        <w:trPr>
          <w:trHeight w:val="300"/>
        </w:trPr>
        <w:tc>
          <w:tcPr>
            <w:tcW w:w="3087" w:type="dxa"/>
            <w:tcBorders>
              <w:top w:val="single" w:sz="4" w:space="0" w:color="auto"/>
              <w:left w:val="single" w:sz="4" w:space="0" w:color="auto"/>
              <w:bottom w:val="single" w:sz="4" w:space="0" w:color="auto"/>
              <w:right w:val="single" w:sz="4" w:space="0" w:color="auto"/>
            </w:tcBorders>
            <w:shd w:val="clear" w:color="000000" w:fill="92CDDC"/>
            <w:noWrap/>
            <w:vAlign w:val="center"/>
            <w:hideMark/>
          </w:tcPr>
          <w:p w:rsidR="004165D8" w:rsidRPr="004165D8" w:rsidRDefault="004165D8" w:rsidP="004165D8">
            <w:pPr>
              <w:spacing w:after="0"/>
              <w:rPr>
                <w:rFonts w:eastAsiaTheme="minorHAnsi" w:cs="Arial"/>
                <w:color w:val="auto"/>
                <w:sz w:val="22"/>
                <w:szCs w:val="22"/>
                <w:lang w:eastAsia="en-US"/>
              </w:rPr>
            </w:pPr>
            <w:r w:rsidRPr="004165D8">
              <w:rPr>
                <w:rFonts w:eastAsiaTheme="minorHAnsi" w:cs="Arial"/>
                <w:color w:val="auto"/>
                <w:sz w:val="22"/>
                <w:szCs w:val="22"/>
                <w:lang w:eastAsia="en-US"/>
              </w:rPr>
              <w:t>2017/18</w:t>
            </w:r>
          </w:p>
        </w:tc>
        <w:tc>
          <w:tcPr>
            <w:tcW w:w="1515" w:type="dxa"/>
            <w:gridSpan w:val="2"/>
            <w:tcBorders>
              <w:top w:val="single" w:sz="4" w:space="0" w:color="auto"/>
              <w:left w:val="nil"/>
              <w:bottom w:val="single" w:sz="4" w:space="0" w:color="auto"/>
              <w:right w:val="single" w:sz="4" w:space="0" w:color="auto"/>
            </w:tcBorders>
            <w:shd w:val="clear" w:color="000000" w:fill="92CDDC"/>
            <w:noWrap/>
            <w:vAlign w:val="center"/>
            <w:hideMark/>
          </w:tcPr>
          <w:p w:rsidR="004165D8" w:rsidRPr="004165D8" w:rsidRDefault="004165D8" w:rsidP="004165D8">
            <w:pPr>
              <w:spacing w:after="0"/>
              <w:jc w:val="right"/>
              <w:rPr>
                <w:rFonts w:eastAsiaTheme="minorHAnsi" w:cs="Arial"/>
                <w:color w:val="auto"/>
                <w:sz w:val="22"/>
                <w:szCs w:val="22"/>
                <w:lang w:eastAsia="en-US"/>
              </w:rPr>
            </w:pPr>
            <w:r w:rsidRPr="004165D8">
              <w:rPr>
                <w:rFonts w:eastAsiaTheme="minorHAnsi" w:cs="Arial"/>
                <w:color w:val="auto"/>
                <w:sz w:val="22"/>
                <w:szCs w:val="22"/>
                <w:lang w:eastAsia="en-US"/>
              </w:rPr>
              <w:t>Number of Cases</w:t>
            </w:r>
          </w:p>
        </w:tc>
        <w:tc>
          <w:tcPr>
            <w:tcW w:w="1516" w:type="dxa"/>
            <w:gridSpan w:val="3"/>
            <w:tcBorders>
              <w:top w:val="single" w:sz="4" w:space="0" w:color="auto"/>
              <w:left w:val="nil"/>
              <w:bottom w:val="single" w:sz="4" w:space="0" w:color="auto"/>
              <w:right w:val="single" w:sz="4" w:space="0" w:color="auto"/>
            </w:tcBorders>
            <w:shd w:val="clear" w:color="000000" w:fill="92CDDC"/>
            <w:noWrap/>
            <w:vAlign w:val="center"/>
            <w:hideMark/>
          </w:tcPr>
          <w:p w:rsidR="004165D8" w:rsidRPr="004165D8" w:rsidRDefault="004165D8" w:rsidP="004165D8">
            <w:pPr>
              <w:spacing w:after="0"/>
              <w:jc w:val="right"/>
              <w:rPr>
                <w:rFonts w:eastAsiaTheme="minorHAnsi" w:cs="Arial"/>
                <w:color w:val="auto"/>
                <w:sz w:val="22"/>
                <w:szCs w:val="22"/>
                <w:lang w:eastAsia="en-US"/>
              </w:rPr>
            </w:pPr>
            <w:r w:rsidRPr="004165D8">
              <w:rPr>
                <w:rFonts w:eastAsiaTheme="minorHAnsi" w:cs="Arial"/>
                <w:color w:val="auto"/>
                <w:sz w:val="22"/>
                <w:szCs w:val="22"/>
                <w:lang w:eastAsia="en-US"/>
              </w:rPr>
              <w:t>Total DTOC Days</w:t>
            </w:r>
          </w:p>
        </w:tc>
        <w:tc>
          <w:tcPr>
            <w:tcW w:w="1515" w:type="dxa"/>
            <w:gridSpan w:val="2"/>
            <w:tcBorders>
              <w:top w:val="single" w:sz="4" w:space="0" w:color="auto"/>
              <w:left w:val="nil"/>
              <w:bottom w:val="single" w:sz="4" w:space="0" w:color="auto"/>
              <w:right w:val="single" w:sz="4" w:space="0" w:color="auto"/>
            </w:tcBorders>
            <w:shd w:val="clear" w:color="000000" w:fill="92CDDC"/>
            <w:noWrap/>
            <w:vAlign w:val="center"/>
            <w:hideMark/>
          </w:tcPr>
          <w:p w:rsidR="004165D8" w:rsidRPr="004165D8" w:rsidRDefault="004165D8" w:rsidP="004165D8">
            <w:pPr>
              <w:spacing w:after="0"/>
              <w:jc w:val="right"/>
              <w:rPr>
                <w:rFonts w:eastAsiaTheme="minorHAnsi" w:cs="Arial"/>
                <w:color w:val="auto"/>
                <w:sz w:val="22"/>
                <w:szCs w:val="22"/>
                <w:lang w:eastAsia="en-US"/>
              </w:rPr>
            </w:pPr>
            <w:r w:rsidRPr="004165D8">
              <w:rPr>
                <w:rFonts w:eastAsiaTheme="minorHAnsi" w:cs="Arial"/>
                <w:color w:val="auto"/>
                <w:sz w:val="22"/>
                <w:szCs w:val="22"/>
                <w:lang w:eastAsia="en-US"/>
              </w:rPr>
              <w:t>Hub Bed Days</w:t>
            </w:r>
          </w:p>
        </w:tc>
        <w:tc>
          <w:tcPr>
            <w:tcW w:w="1516" w:type="dxa"/>
            <w:gridSpan w:val="2"/>
            <w:tcBorders>
              <w:top w:val="single" w:sz="4" w:space="0" w:color="auto"/>
              <w:left w:val="nil"/>
              <w:bottom w:val="single" w:sz="4" w:space="0" w:color="auto"/>
              <w:right w:val="single" w:sz="4" w:space="0" w:color="auto"/>
            </w:tcBorders>
            <w:shd w:val="clear" w:color="000000" w:fill="92CDDC"/>
            <w:noWrap/>
            <w:vAlign w:val="center"/>
            <w:hideMark/>
          </w:tcPr>
          <w:p w:rsidR="004165D8" w:rsidRPr="004165D8" w:rsidRDefault="004165D8" w:rsidP="004165D8">
            <w:pPr>
              <w:spacing w:after="0"/>
              <w:jc w:val="right"/>
              <w:rPr>
                <w:rFonts w:eastAsiaTheme="minorHAnsi" w:cs="Arial"/>
                <w:color w:val="auto"/>
                <w:sz w:val="22"/>
                <w:szCs w:val="22"/>
                <w:lang w:eastAsia="en-US"/>
              </w:rPr>
            </w:pPr>
            <w:r w:rsidRPr="004165D8">
              <w:rPr>
                <w:rFonts w:eastAsiaTheme="minorHAnsi" w:cs="Arial"/>
                <w:color w:val="auto"/>
                <w:sz w:val="22"/>
                <w:szCs w:val="22"/>
                <w:lang w:eastAsia="en-US"/>
              </w:rPr>
              <w:t>Average Delay</w:t>
            </w:r>
          </w:p>
        </w:tc>
      </w:tr>
      <w:tr w:rsidR="004165D8" w:rsidRPr="004165D8" w:rsidTr="004165D8">
        <w:trPr>
          <w:trHeight w:val="300"/>
        </w:trPr>
        <w:tc>
          <w:tcPr>
            <w:tcW w:w="3087" w:type="dxa"/>
            <w:tcBorders>
              <w:top w:val="nil"/>
              <w:left w:val="single" w:sz="4" w:space="0" w:color="auto"/>
              <w:bottom w:val="single" w:sz="4" w:space="0" w:color="auto"/>
              <w:right w:val="single" w:sz="4" w:space="0" w:color="auto"/>
            </w:tcBorders>
            <w:shd w:val="clear" w:color="auto" w:fill="auto"/>
            <w:noWrap/>
            <w:vAlign w:val="center"/>
            <w:hideMark/>
          </w:tcPr>
          <w:p w:rsidR="004165D8" w:rsidRPr="004165D8" w:rsidRDefault="004165D8" w:rsidP="004165D8">
            <w:pPr>
              <w:spacing w:after="0"/>
              <w:rPr>
                <w:rFonts w:eastAsiaTheme="minorHAnsi" w:cs="Arial"/>
                <w:color w:val="auto"/>
                <w:sz w:val="22"/>
                <w:szCs w:val="22"/>
                <w:lang w:eastAsia="en-US"/>
              </w:rPr>
            </w:pPr>
            <w:r w:rsidRPr="004165D8">
              <w:rPr>
                <w:rFonts w:eastAsiaTheme="minorHAnsi" w:cs="Arial"/>
                <w:color w:val="auto"/>
                <w:sz w:val="22"/>
                <w:szCs w:val="22"/>
                <w:lang w:eastAsia="en-US"/>
              </w:rPr>
              <w:t>Housing only</w:t>
            </w:r>
          </w:p>
        </w:tc>
        <w:tc>
          <w:tcPr>
            <w:tcW w:w="1515" w:type="dxa"/>
            <w:gridSpan w:val="2"/>
            <w:tcBorders>
              <w:top w:val="nil"/>
              <w:left w:val="nil"/>
              <w:bottom w:val="single" w:sz="4" w:space="0" w:color="auto"/>
              <w:right w:val="single" w:sz="4" w:space="0" w:color="auto"/>
            </w:tcBorders>
            <w:shd w:val="clear" w:color="auto" w:fill="auto"/>
            <w:noWrap/>
            <w:vAlign w:val="center"/>
            <w:hideMark/>
          </w:tcPr>
          <w:p w:rsidR="004165D8" w:rsidRPr="004165D8" w:rsidRDefault="004165D8" w:rsidP="004165D8">
            <w:pPr>
              <w:spacing w:after="0"/>
              <w:jc w:val="right"/>
              <w:rPr>
                <w:rFonts w:cs="Arial"/>
                <w:sz w:val="22"/>
                <w:szCs w:val="22"/>
              </w:rPr>
            </w:pPr>
            <w:r w:rsidRPr="004165D8">
              <w:rPr>
                <w:rFonts w:cs="Arial"/>
                <w:sz w:val="22"/>
                <w:szCs w:val="22"/>
              </w:rPr>
              <w:t>12</w:t>
            </w:r>
          </w:p>
        </w:tc>
        <w:tc>
          <w:tcPr>
            <w:tcW w:w="1516" w:type="dxa"/>
            <w:gridSpan w:val="3"/>
            <w:tcBorders>
              <w:top w:val="nil"/>
              <w:left w:val="nil"/>
              <w:bottom w:val="single" w:sz="4" w:space="0" w:color="auto"/>
              <w:right w:val="single" w:sz="4" w:space="0" w:color="auto"/>
            </w:tcBorders>
            <w:shd w:val="clear" w:color="auto" w:fill="auto"/>
            <w:noWrap/>
            <w:vAlign w:val="center"/>
            <w:hideMark/>
          </w:tcPr>
          <w:p w:rsidR="004165D8" w:rsidRPr="004165D8" w:rsidRDefault="004165D8" w:rsidP="004165D8">
            <w:pPr>
              <w:spacing w:after="0"/>
              <w:jc w:val="right"/>
              <w:rPr>
                <w:rFonts w:cs="Arial"/>
                <w:sz w:val="22"/>
                <w:szCs w:val="22"/>
              </w:rPr>
            </w:pPr>
            <w:r w:rsidRPr="004165D8">
              <w:rPr>
                <w:rFonts w:cs="Arial"/>
                <w:sz w:val="22"/>
                <w:szCs w:val="22"/>
              </w:rPr>
              <w:t>454</w:t>
            </w:r>
          </w:p>
        </w:tc>
        <w:tc>
          <w:tcPr>
            <w:tcW w:w="1515" w:type="dxa"/>
            <w:gridSpan w:val="2"/>
            <w:tcBorders>
              <w:top w:val="nil"/>
              <w:left w:val="nil"/>
              <w:bottom w:val="single" w:sz="4" w:space="0" w:color="auto"/>
              <w:right w:val="single" w:sz="4" w:space="0" w:color="auto"/>
            </w:tcBorders>
            <w:shd w:val="clear" w:color="auto" w:fill="auto"/>
            <w:noWrap/>
            <w:vAlign w:val="center"/>
            <w:hideMark/>
          </w:tcPr>
          <w:p w:rsidR="004165D8" w:rsidRPr="004165D8" w:rsidRDefault="004165D8" w:rsidP="004165D8">
            <w:pPr>
              <w:spacing w:after="0"/>
              <w:jc w:val="right"/>
              <w:rPr>
                <w:rFonts w:cs="Arial"/>
                <w:sz w:val="22"/>
                <w:szCs w:val="22"/>
              </w:rPr>
            </w:pPr>
            <w:r w:rsidRPr="004165D8">
              <w:rPr>
                <w:rFonts w:cs="Arial"/>
                <w:sz w:val="22"/>
                <w:szCs w:val="22"/>
              </w:rPr>
              <w:t>0</w:t>
            </w:r>
          </w:p>
        </w:tc>
        <w:tc>
          <w:tcPr>
            <w:tcW w:w="1516" w:type="dxa"/>
            <w:gridSpan w:val="2"/>
            <w:tcBorders>
              <w:top w:val="nil"/>
              <w:left w:val="nil"/>
              <w:bottom w:val="single" w:sz="4" w:space="0" w:color="auto"/>
              <w:right w:val="single" w:sz="4" w:space="0" w:color="auto"/>
            </w:tcBorders>
            <w:shd w:val="clear" w:color="auto" w:fill="auto"/>
            <w:noWrap/>
            <w:vAlign w:val="center"/>
            <w:hideMark/>
          </w:tcPr>
          <w:p w:rsidR="004165D8" w:rsidRPr="004165D8" w:rsidRDefault="004165D8" w:rsidP="004165D8">
            <w:pPr>
              <w:spacing w:after="0"/>
              <w:jc w:val="right"/>
              <w:rPr>
                <w:rFonts w:cs="Arial"/>
                <w:sz w:val="22"/>
                <w:szCs w:val="22"/>
              </w:rPr>
            </w:pPr>
            <w:r w:rsidRPr="004165D8">
              <w:rPr>
                <w:rFonts w:cs="Arial"/>
                <w:sz w:val="22"/>
                <w:szCs w:val="22"/>
              </w:rPr>
              <w:t>37.83</w:t>
            </w:r>
          </w:p>
        </w:tc>
      </w:tr>
      <w:tr w:rsidR="004165D8" w:rsidRPr="004165D8" w:rsidTr="004165D8">
        <w:trPr>
          <w:trHeight w:val="300"/>
        </w:trPr>
        <w:tc>
          <w:tcPr>
            <w:tcW w:w="3087" w:type="dxa"/>
            <w:tcBorders>
              <w:top w:val="nil"/>
              <w:left w:val="single" w:sz="4" w:space="0" w:color="auto"/>
              <w:bottom w:val="single" w:sz="4" w:space="0" w:color="auto"/>
              <w:right w:val="single" w:sz="4" w:space="0" w:color="auto"/>
            </w:tcBorders>
            <w:shd w:val="clear" w:color="auto" w:fill="auto"/>
            <w:noWrap/>
            <w:vAlign w:val="center"/>
            <w:hideMark/>
          </w:tcPr>
          <w:p w:rsidR="004165D8" w:rsidRPr="004165D8" w:rsidRDefault="004165D8" w:rsidP="004165D8">
            <w:pPr>
              <w:spacing w:after="0"/>
              <w:rPr>
                <w:rFonts w:eastAsiaTheme="minorHAnsi" w:cs="Arial"/>
                <w:color w:val="auto"/>
                <w:sz w:val="22"/>
                <w:szCs w:val="22"/>
                <w:lang w:eastAsia="en-US"/>
              </w:rPr>
            </w:pPr>
            <w:r w:rsidRPr="004165D8">
              <w:rPr>
                <w:rFonts w:eastAsiaTheme="minorHAnsi" w:cs="Arial"/>
                <w:color w:val="auto"/>
                <w:sz w:val="22"/>
                <w:szCs w:val="22"/>
                <w:lang w:eastAsia="en-US"/>
              </w:rPr>
              <w:t>Housing (</w:t>
            </w:r>
            <w:proofErr w:type="spellStart"/>
            <w:r w:rsidRPr="004165D8">
              <w:rPr>
                <w:rFonts w:eastAsiaTheme="minorHAnsi" w:cs="Arial"/>
                <w:color w:val="auto"/>
                <w:sz w:val="22"/>
                <w:szCs w:val="22"/>
                <w:lang w:eastAsia="en-US"/>
              </w:rPr>
              <w:t>inc</w:t>
            </w:r>
            <w:proofErr w:type="spellEnd"/>
            <w:r w:rsidRPr="004165D8">
              <w:rPr>
                <w:rFonts w:eastAsiaTheme="minorHAnsi" w:cs="Arial"/>
                <w:color w:val="auto"/>
                <w:sz w:val="22"/>
                <w:szCs w:val="22"/>
                <w:lang w:eastAsia="en-US"/>
              </w:rPr>
              <w:t xml:space="preserve"> Hub)</w:t>
            </w:r>
          </w:p>
        </w:tc>
        <w:tc>
          <w:tcPr>
            <w:tcW w:w="1515" w:type="dxa"/>
            <w:gridSpan w:val="2"/>
            <w:tcBorders>
              <w:top w:val="nil"/>
              <w:left w:val="nil"/>
              <w:bottom w:val="single" w:sz="4" w:space="0" w:color="auto"/>
              <w:right w:val="single" w:sz="4" w:space="0" w:color="auto"/>
            </w:tcBorders>
            <w:shd w:val="clear" w:color="auto" w:fill="auto"/>
            <w:noWrap/>
            <w:vAlign w:val="center"/>
            <w:hideMark/>
          </w:tcPr>
          <w:p w:rsidR="004165D8" w:rsidRPr="004165D8" w:rsidRDefault="004165D8" w:rsidP="004165D8">
            <w:pPr>
              <w:spacing w:after="0"/>
              <w:jc w:val="right"/>
              <w:rPr>
                <w:rFonts w:cs="Arial"/>
                <w:sz w:val="22"/>
                <w:szCs w:val="22"/>
              </w:rPr>
            </w:pPr>
            <w:r w:rsidRPr="004165D8">
              <w:rPr>
                <w:rFonts w:cs="Arial"/>
                <w:sz w:val="22"/>
                <w:szCs w:val="22"/>
              </w:rPr>
              <w:t>1</w:t>
            </w:r>
          </w:p>
        </w:tc>
        <w:tc>
          <w:tcPr>
            <w:tcW w:w="1516" w:type="dxa"/>
            <w:gridSpan w:val="3"/>
            <w:tcBorders>
              <w:top w:val="nil"/>
              <w:left w:val="nil"/>
              <w:bottom w:val="single" w:sz="4" w:space="0" w:color="auto"/>
              <w:right w:val="single" w:sz="4" w:space="0" w:color="auto"/>
            </w:tcBorders>
            <w:shd w:val="clear" w:color="auto" w:fill="auto"/>
            <w:noWrap/>
            <w:vAlign w:val="center"/>
            <w:hideMark/>
          </w:tcPr>
          <w:p w:rsidR="004165D8" w:rsidRPr="004165D8" w:rsidRDefault="004165D8" w:rsidP="004165D8">
            <w:pPr>
              <w:spacing w:after="0"/>
              <w:jc w:val="right"/>
              <w:rPr>
                <w:rFonts w:cs="Arial"/>
                <w:sz w:val="22"/>
                <w:szCs w:val="22"/>
              </w:rPr>
            </w:pPr>
            <w:r w:rsidRPr="004165D8">
              <w:rPr>
                <w:rFonts w:cs="Arial"/>
                <w:sz w:val="22"/>
                <w:szCs w:val="22"/>
              </w:rPr>
              <w:t>88</w:t>
            </w:r>
          </w:p>
        </w:tc>
        <w:tc>
          <w:tcPr>
            <w:tcW w:w="1515" w:type="dxa"/>
            <w:gridSpan w:val="2"/>
            <w:tcBorders>
              <w:top w:val="nil"/>
              <w:left w:val="nil"/>
              <w:bottom w:val="single" w:sz="4" w:space="0" w:color="auto"/>
              <w:right w:val="single" w:sz="4" w:space="0" w:color="auto"/>
            </w:tcBorders>
            <w:shd w:val="clear" w:color="auto" w:fill="auto"/>
            <w:noWrap/>
            <w:vAlign w:val="center"/>
            <w:hideMark/>
          </w:tcPr>
          <w:p w:rsidR="004165D8" w:rsidRPr="004165D8" w:rsidRDefault="004165D8" w:rsidP="004165D8">
            <w:pPr>
              <w:spacing w:after="0"/>
              <w:jc w:val="right"/>
              <w:rPr>
                <w:rFonts w:cs="Arial"/>
                <w:sz w:val="22"/>
                <w:szCs w:val="22"/>
              </w:rPr>
            </w:pPr>
            <w:r w:rsidRPr="004165D8">
              <w:rPr>
                <w:rFonts w:cs="Arial"/>
                <w:sz w:val="22"/>
                <w:szCs w:val="22"/>
              </w:rPr>
              <w:t>55</w:t>
            </w:r>
          </w:p>
        </w:tc>
        <w:tc>
          <w:tcPr>
            <w:tcW w:w="1516" w:type="dxa"/>
            <w:gridSpan w:val="2"/>
            <w:tcBorders>
              <w:top w:val="nil"/>
              <w:left w:val="nil"/>
              <w:bottom w:val="single" w:sz="4" w:space="0" w:color="auto"/>
              <w:right w:val="single" w:sz="4" w:space="0" w:color="auto"/>
            </w:tcBorders>
            <w:shd w:val="clear" w:color="auto" w:fill="auto"/>
            <w:noWrap/>
            <w:vAlign w:val="center"/>
            <w:hideMark/>
          </w:tcPr>
          <w:p w:rsidR="004165D8" w:rsidRPr="004165D8" w:rsidRDefault="004165D8" w:rsidP="004165D8">
            <w:pPr>
              <w:spacing w:after="0"/>
              <w:jc w:val="right"/>
              <w:rPr>
                <w:rFonts w:cs="Arial"/>
                <w:sz w:val="22"/>
                <w:szCs w:val="22"/>
              </w:rPr>
            </w:pPr>
            <w:r w:rsidRPr="004165D8">
              <w:rPr>
                <w:rFonts w:cs="Arial"/>
                <w:sz w:val="22"/>
                <w:szCs w:val="22"/>
              </w:rPr>
              <w:t>143.00</w:t>
            </w:r>
          </w:p>
        </w:tc>
      </w:tr>
      <w:tr w:rsidR="004165D8" w:rsidRPr="004165D8" w:rsidTr="004165D8">
        <w:trPr>
          <w:trHeight w:val="300"/>
        </w:trPr>
        <w:tc>
          <w:tcPr>
            <w:tcW w:w="3087" w:type="dxa"/>
            <w:tcBorders>
              <w:top w:val="nil"/>
              <w:left w:val="single" w:sz="4" w:space="0" w:color="auto"/>
              <w:bottom w:val="single" w:sz="4" w:space="0" w:color="auto"/>
              <w:right w:val="single" w:sz="4" w:space="0" w:color="auto"/>
            </w:tcBorders>
            <w:shd w:val="clear" w:color="auto" w:fill="auto"/>
            <w:noWrap/>
            <w:vAlign w:val="center"/>
            <w:hideMark/>
          </w:tcPr>
          <w:p w:rsidR="004165D8" w:rsidRPr="004165D8" w:rsidRDefault="004165D8" w:rsidP="004165D8">
            <w:pPr>
              <w:spacing w:after="0"/>
              <w:rPr>
                <w:rFonts w:eastAsiaTheme="minorHAnsi" w:cs="Arial"/>
                <w:color w:val="auto"/>
                <w:sz w:val="22"/>
                <w:szCs w:val="22"/>
                <w:lang w:eastAsia="en-US"/>
              </w:rPr>
            </w:pPr>
            <w:r w:rsidRPr="004165D8">
              <w:rPr>
                <w:rFonts w:eastAsiaTheme="minorHAnsi" w:cs="Arial"/>
                <w:color w:val="auto"/>
                <w:sz w:val="22"/>
                <w:szCs w:val="22"/>
                <w:lang w:eastAsia="en-US"/>
              </w:rPr>
              <w:t>Multiple Reasons</w:t>
            </w:r>
          </w:p>
        </w:tc>
        <w:tc>
          <w:tcPr>
            <w:tcW w:w="1515" w:type="dxa"/>
            <w:gridSpan w:val="2"/>
            <w:tcBorders>
              <w:top w:val="nil"/>
              <w:left w:val="nil"/>
              <w:bottom w:val="single" w:sz="4" w:space="0" w:color="auto"/>
              <w:right w:val="single" w:sz="4" w:space="0" w:color="auto"/>
            </w:tcBorders>
            <w:shd w:val="clear" w:color="auto" w:fill="auto"/>
            <w:noWrap/>
            <w:vAlign w:val="center"/>
            <w:hideMark/>
          </w:tcPr>
          <w:p w:rsidR="004165D8" w:rsidRPr="004165D8" w:rsidRDefault="004165D8" w:rsidP="004165D8">
            <w:pPr>
              <w:spacing w:after="0"/>
              <w:jc w:val="right"/>
              <w:rPr>
                <w:rFonts w:cs="Arial"/>
                <w:sz w:val="22"/>
                <w:szCs w:val="22"/>
              </w:rPr>
            </w:pPr>
            <w:r w:rsidRPr="004165D8">
              <w:rPr>
                <w:rFonts w:cs="Arial"/>
                <w:sz w:val="22"/>
                <w:szCs w:val="22"/>
              </w:rPr>
              <w:t>4</w:t>
            </w:r>
          </w:p>
        </w:tc>
        <w:tc>
          <w:tcPr>
            <w:tcW w:w="1516" w:type="dxa"/>
            <w:gridSpan w:val="3"/>
            <w:tcBorders>
              <w:top w:val="nil"/>
              <w:left w:val="nil"/>
              <w:bottom w:val="single" w:sz="4" w:space="0" w:color="auto"/>
              <w:right w:val="single" w:sz="4" w:space="0" w:color="auto"/>
            </w:tcBorders>
            <w:shd w:val="clear" w:color="auto" w:fill="auto"/>
            <w:noWrap/>
            <w:vAlign w:val="center"/>
            <w:hideMark/>
          </w:tcPr>
          <w:p w:rsidR="004165D8" w:rsidRPr="004165D8" w:rsidRDefault="004165D8" w:rsidP="004165D8">
            <w:pPr>
              <w:spacing w:after="0"/>
              <w:jc w:val="right"/>
              <w:rPr>
                <w:rFonts w:cs="Arial"/>
                <w:sz w:val="22"/>
                <w:szCs w:val="22"/>
              </w:rPr>
            </w:pPr>
            <w:r w:rsidRPr="004165D8">
              <w:rPr>
                <w:rFonts w:cs="Arial"/>
                <w:sz w:val="22"/>
                <w:szCs w:val="22"/>
              </w:rPr>
              <w:t>227</w:t>
            </w:r>
          </w:p>
        </w:tc>
        <w:tc>
          <w:tcPr>
            <w:tcW w:w="1515" w:type="dxa"/>
            <w:gridSpan w:val="2"/>
            <w:tcBorders>
              <w:top w:val="nil"/>
              <w:left w:val="nil"/>
              <w:bottom w:val="single" w:sz="4" w:space="0" w:color="auto"/>
              <w:right w:val="single" w:sz="4" w:space="0" w:color="auto"/>
            </w:tcBorders>
            <w:shd w:val="clear" w:color="auto" w:fill="auto"/>
            <w:noWrap/>
            <w:vAlign w:val="center"/>
            <w:hideMark/>
          </w:tcPr>
          <w:p w:rsidR="004165D8" w:rsidRPr="004165D8" w:rsidRDefault="004165D8" w:rsidP="004165D8">
            <w:pPr>
              <w:spacing w:after="0"/>
              <w:jc w:val="right"/>
              <w:rPr>
                <w:rFonts w:cs="Arial"/>
                <w:sz w:val="22"/>
                <w:szCs w:val="22"/>
              </w:rPr>
            </w:pPr>
            <w:r w:rsidRPr="004165D8">
              <w:rPr>
                <w:rFonts w:cs="Arial"/>
                <w:sz w:val="22"/>
                <w:szCs w:val="22"/>
              </w:rPr>
              <w:t>0</w:t>
            </w:r>
          </w:p>
        </w:tc>
        <w:tc>
          <w:tcPr>
            <w:tcW w:w="1516" w:type="dxa"/>
            <w:gridSpan w:val="2"/>
            <w:tcBorders>
              <w:top w:val="nil"/>
              <w:left w:val="nil"/>
              <w:bottom w:val="single" w:sz="4" w:space="0" w:color="auto"/>
              <w:right w:val="single" w:sz="4" w:space="0" w:color="auto"/>
            </w:tcBorders>
            <w:shd w:val="clear" w:color="auto" w:fill="auto"/>
            <w:noWrap/>
            <w:vAlign w:val="center"/>
            <w:hideMark/>
          </w:tcPr>
          <w:p w:rsidR="004165D8" w:rsidRPr="004165D8" w:rsidRDefault="004165D8" w:rsidP="004165D8">
            <w:pPr>
              <w:spacing w:after="0"/>
              <w:jc w:val="right"/>
              <w:rPr>
                <w:rFonts w:cs="Arial"/>
                <w:sz w:val="22"/>
                <w:szCs w:val="22"/>
              </w:rPr>
            </w:pPr>
            <w:r w:rsidRPr="004165D8">
              <w:rPr>
                <w:rFonts w:cs="Arial"/>
                <w:sz w:val="22"/>
                <w:szCs w:val="22"/>
              </w:rPr>
              <w:t>56.75</w:t>
            </w:r>
          </w:p>
        </w:tc>
      </w:tr>
      <w:tr w:rsidR="004165D8" w:rsidRPr="004165D8" w:rsidTr="004165D8">
        <w:trPr>
          <w:trHeight w:val="300"/>
        </w:trPr>
        <w:tc>
          <w:tcPr>
            <w:tcW w:w="3087" w:type="dxa"/>
            <w:tcBorders>
              <w:top w:val="nil"/>
              <w:left w:val="single" w:sz="4" w:space="0" w:color="auto"/>
              <w:bottom w:val="single" w:sz="4" w:space="0" w:color="auto"/>
              <w:right w:val="single" w:sz="4" w:space="0" w:color="auto"/>
            </w:tcBorders>
            <w:shd w:val="clear" w:color="auto" w:fill="auto"/>
            <w:noWrap/>
            <w:vAlign w:val="center"/>
            <w:hideMark/>
          </w:tcPr>
          <w:p w:rsidR="004165D8" w:rsidRPr="004165D8" w:rsidRDefault="004165D8" w:rsidP="004165D8">
            <w:pPr>
              <w:spacing w:after="0"/>
              <w:rPr>
                <w:rFonts w:eastAsiaTheme="minorHAnsi" w:cs="Arial"/>
                <w:color w:val="auto"/>
                <w:sz w:val="22"/>
                <w:szCs w:val="22"/>
                <w:lang w:eastAsia="en-US"/>
              </w:rPr>
            </w:pPr>
            <w:r w:rsidRPr="004165D8">
              <w:rPr>
                <w:rFonts w:eastAsiaTheme="minorHAnsi" w:cs="Arial"/>
                <w:color w:val="auto"/>
                <w:sz w:val="22"/>
                <w:szCs w:val="22"/>
                <w:lang w:eastAsia="en-US"/>
              </w:rPr>
              <w:t>Multiple (</w:t>
            </w:r>
            <w:proofErr w:type="spellStart"/>
            <w:r w:rsidRPr="004165D8">
              <w:rPr>
                <w:rFonts w:eastAsiaTheme="minorHAnsi" w:cs="Arial"/>
                <w:color w:val="auto"/>
                <w:sz w:val="22"/>
                <w:szCs w:val="22"/>
                <w:lang w:eastAsia="en-US"/>
              </w:rPr>
              <w:t>inc</w:t>
            </w:r>
            <w:proofErr w:type="spellEnd"/>
            <w:r w:rsidRPr="004165D8">
              <w:rPr>
                <w:rFonts w:eastAsiaTheme="minorHAnsi" w:cs="Arial"/>
                <w:color w:val="auto"/>
                <w:sz w:val="22"/>
                <w:szCs w:val="22"/>
                <w:lang w:eastAsia="en-US"/>
              </w:rPr>
              <w:t xml:space="preserve"> Hub)</w:t>
            </w:r>
          </w:p>
        </w:tc>
        <w:tc>
          <w:tcPr>
            <w:tcW w:w="1515" w:type="dxa"/>
            <w:gridSpan w:val="2"/>
            <w:tcBorders>
              <w:top w:val="nil"/>
              <w:left w:val="nil"/>
              <w:bottom w:val="single" w:sz="4" w:space="0" w:color="auto"/>
              <w:right w:val="single" w:sz="4" w:space="0" w:color="auto"/>
            </w:tcBorders>
            <w:shd w:val="clear" w:color="auto" w:fill="auto"/>
            <w:noWrap/>
            <w:vAlign w:val="center"/>
            <w:hideMark/>
          </w:tcPr>
          <w:p w:rsidR="004165D8" w:rsidRPr="004165D8" w:rsidRDefault="004165D8" w:rsidP="004165D8">
            <w:pPr>
              <w:spacing w:after="0"/>
              <w:jc w:val="right"/>
              <w:rPr>
                <w:rFonts w:cs="Arial"/>
                <w:sz w:val="22"/>
                <w:szCs w:val="22"/>
              </w:rPr>
            </w:pPr>
            <w:r w:rsidRPr="004165D8">
              <w:rPr>
                <w:rFonts w:cs="Arial"/>
                <w:sz w:val="22"/>
                <w:szCs w:val="22"/>
              </w:rPr>
              <w:t>0</w:t>
            </w:r>
          </w:p>
        </w:tc>
        <w:tc>
          <w:tcPr>
            <w:tcW w:w="1516" w:type="dxa"/>
            <w:gridSpan w:val="3"/>
            <w:tcBorders>
              <w:top w:val="nil"/>
              <w:left w:val="nil"/>
              <w:bottom w:val="single" w:sz="4" w:space="0" w:color="auto"/>
              <w:right w:val="single" w:sz="4" w:space="0" w:color="auto"/>
            </w:tcBorders>
            <w:shd w:val="clear" w:color="auto" w:fill="auto"/>
            <w:noWrap/>
            <w:vAlign w:val="center"/>
            <w:hideMark/>
          </w:tcPr>
          <w:p w:rsidR="004165D8" w:rsidRPr="004165D8" w:rsidRDefault="004165D8" w:rsidP="004165D8">
            <w:pPr>
              <w:spacing w:after="0"/>
              <w:jc w:val="right"/>
              <w:rPr>
                <w:rFonts w:cs="Arial"/>
                <w:sz w:val="22"/>
                <w:szCs w:val="22"/>
              </w:rPr>
            </w:pPr>
            <w:r w:rsidRPr="004165D8">
              <w:rPr>
                <w:rFonts w:cs="Arial"/>
                <w:sz w:val="22"/>
                <w:szCs w:val="22"/>
              </w:rPr>
              <w:t>0</w:t>
            </w:r>
          </w:p>
        </w:tc>
        <w:tc>
          <w:tcPr>
            <w:tcW w:w="1515" w:type="dxa"/>
            <w:gridSpan w:val="2"/>
            <w:tcBorders>
              <w:top w:val="nil"/>
              <w:left w:val="nil"/>
              <w:bottom w:val="single" w:sz="4" w:space="0" w:color="auto"/>
              <w:right w:val="single" w:sz="4" w:space="0" w:color="auto"/>
            </w:tcBorders>
            <w:shd w:val="clear" w:color="auto" w:fill="auto"/>
            <w:noWrap/>
            <w:vAlign w:val="center"/>
            <w:hideMark/>
          </w:tcPr>
          <w:p w:rsidR="004165D8" w:rsidRPr="004165D8" w:rsidRDefault="004165D8" w:rsidP="004165D8">
            <w:pPr>
              <w:spacing w:after="0"/>
              <w:jc w:val="right"/>
              <w:rPr>
                <w:rFonts w:cs="Arial"/>
                <w:sz w:val="22"/>
                <w:szCs w:val="22"/>
              </w:rPr>
            </w:pPr>
            <w:r w:rsidRPr="004165D8">
              <w:rPr>
                <w:rFonts w:cs="Arial"/>
                <w:sz w:val="22"/>
                <w:szCs w:val="22"/>
              </w:rPr>
              <w:t>0</w:t>
            </w:r>
          </w:p>
        </w:tc>
        <w:tc>
          <w:tcPr>
            <w:tcW w:w="1516" w:type="dxa"/>
            <w:gridSpan w:val="2"/>
            <w:tcBorders>
              <w:top w:val="nil"/>
              <w:left w:val="nil"/>
              <w:bottom w:val="single" w:sz="4" w:space="0" w:color="auto"/>
              <w:right w:val="single" w:sz="4" w:space="0" w:color="auto"/>
            </w:tcBorders>
            <w:shd w:val="clear" w:color="auto" w:fill="auto"/>
            <w:noWrap/>
            <w:vAlign w:val="center"/>
            <w:hideMark/>
          </w:tcPr>
          <w:p w:rsidR="004165D8" w:rsidRPr="004165D8" w:rsidRDefault="004165D8" w:rsidP="004165D8">
            <w:pPr>
              <w:spacing w:after="0"/>
              <w:jc w:val="right"/>
              <w:rPr>
                <w:rFonts w:cs="Arial"/>
                <w:sz w:val="22"/>
                <w:szCs w:val="22"/>
              </w:rPr>
            </w:pPr>
            <w:r w:rsidRPr="004165D8">
              <w:rPr>
                <w:rFonts w:cs="Arial"/>
                <w:sz w:val="22"/>
                <w:szCs w:val="22"/>
              </w:rPr>
              <w:t>0.00</w:t>
            </w:r>
          </w:p>
        </w:tc>
      </w:tr>
      <w:tr w:rsidR="004165D8" w:rsidRPr="004165D8" w:rsidTr="004165D8">
        <w:trPr>
          <w:trHeight w:val="300"/>
        </w:trPr>
        <w:tc>
          <w:tcPr>
            <w:tcW w:w="3087" w:type="dxa"/>
            <w:tcBorders>
              <w:top w:val="nil"/>
              <w:left w:val="single" w:sz="4" w:space="0" w:color="auto"/>
              <w:bottom w:val="single" w:sz="4" w:space="0" w:color="auto"/>
              <w:right w:val="single" w:sz="4" w:space="0" w:color="auto"/>
            </w:tcBorders>
            <w:shd w:val="clear" w:color="auto" w:fill="auto"/>
            <w:noWrap/>
            <w:vAlign w:val="center"/>
            <w:hideMark/>
          </w:tcPr>
          <w:p w:rsidR="004165D8" w:rsidRPr="004165D8" w:rsidRDefault="004165D8" w:rsidP="004165D8">
            <w:pPr>
              <w:spacing w:after="0"/>
              <w:rPr>
                <w:rFonts w:eastAsiaTheme="minorHAnsi" w:cs="Arial"/>
                <w:color w:val="auto"/>
                <w:sz w:val="22"/>
                <w:szCs w:val="22"/>
                <w:lang w:eastAsia="en-US"/>
              </w:rPr>
            </w:pPr>
            <w:r w:rsidRPr="004165D8">
              <w:rPr>
                <w:rFonts w:eastAsiaTheme="minorHAnsi" w:cs="Arial"/>
                <w:color w:val="auto"/>
                <w:sz w:val="22"/>
                <w:szCs w:val="22"/>
                <w:lang w:eastAsia="en-US"/>
              </w:rPr>
              <w:t>TOTAL</w:t>
            </w:r>
          </w:p>
        </w:tc>
        <w:tc>
          <w:tcPr>
            <w:tcW w:w="1515" w:type="dxa"/>
            <w:gridSpan w:val="2"/>
            <w:tcBorders>
              <w:top w:val="nil"/>
              <w:left w:val="nil"/>
              <w:bottom w:val="single" w:sz="4" w:space="0" w:color="auto"/>
              <w:right w:val="single" w:sz="4" w:space="0" w:color="auto"/>
            </w:tcBorders>
            <w:shd w:val="clear" w:color="auto" w:fill="auto"/>
            <w:noWrap/>
            <w:vAlign w:val="center"/>
            <w:hideMark/>
          </w:tcPr>
          <w:p w:rsidR="004165D8" w:rsidRPr="004165D8" w:rsidRDefault="004165D8" w:rsidP="004165D8">
            <w:pPr>
              <w:spacing w:after="0"/>
              <w:jc w:val="right"/>
              <w:rPr>
                <w:rFonts w:cs="Arial"/>
                <w:b/>
                <w:bCs/>
                <w:sz w:val="22"/>
                <w:szCs w:val="22"/>
              </w:rPr>
            </w:pPr>
            <w:r w:rsidRPr="004165D8">
              <w:rPr>
                <w:rFonts w:cs="Arial"/>
                <w:b/>
                <w:bCs/>
                <w:sz w:val="22"/>
                <w:szCs w:val="22"/>
              </w:rPr>
              <w:t>17</w:t>
            </w:r>
          </w:p>
        </w:tc>
        <w:tc>
          <w:tcPr>
            <w:tcW w:w="1516" w:type="dxa"/>
            <w:gridSpan w:val="3"/>
            <w:tcBorders>
              <w:top w:val="nil"/>
              <w:left w:val="nil"/>
              <w:bottom w:val="single" w:sz="4" w:space="0" w:color="auto"/>
              <w:right w:val="single" w:sz="4" w:space="0" w:color="auto"/>
            </w:tcBorders>
            <w:shd w:val="clear" w:color="auto" w:fill="auto"/>
            <w:noWrap/>
            <w:vAlign w:val="center"/>
            <w:hideMark/>
          </w:tcPr>
          <w:p w:rsidR="004165D8" w:rsidRPr="004165D8" w:rsidRDefault="004165D8" w:rsidP="004165D8">
            <w:pPr>
              <w:spacing w:after="0"/>
              <w:jc w:val="right"/>
              <w:rPr>
                <w:rFonts w:cs="Arial"/>
                <w:b/>
                <w:bCs/>
                <w:sz w:val="22"/>
                <w:szCs w:val="22"/>
              </w:rPr>
            </w:pPr>
            <w:r w:rsidRPr="004165D8">
              <w:rPr>
                <w:rFonts w:cs="Arial"/>
                <w:b/>
                <w:bCs/>
                <w:sz w:val="22"/>
                <w:szCs w:val="22"/>
              </w:rPr>
              <w:t>769</w:t>
            </w:r>
          </w:p>
        </w:tc>
        <w:tc>
          <w:tcPr>
            <w:tcW w:w="1515" w:type="dxa"/>
            <w:gridSpan w:val="2"/>
            <w:tcBorders>
              <w:top w:val="nil"/>
              <w:left w:val="nil"/>
              <w:bottom w:val="single" w:sz="4" w:space="0" w:color="auto"/>
              <w:right w:val="single" w:sz="4" w:space="0" w:color="auto"/>
            </w:tcBorders>
            <w:shd w:val="clear" w:color="auto" w:fill="auto"/>
            <w:noWrap/>
            <w:vAlign w:val="center"/>
            <w:hideMark/>
          </w:tcPr>
          <w:p w:rsidR="004165D8" w:rsidRPr="004165D8" w:rsidRDefault="004165D8" w:rsidP="004165D8">
            <w:pPr>
              <w:spacing w:after="0"/>
              <w:jc w:val="right"/>
              <w:rPr>
                <w:rFonts w:cs="Arial"/>
                <w:b/>
                <w:bCs/>
                <w:sz w:val="22"/>
                <w:szCs w:val="22"/>
              </w:rPr>
            </w:pPr>
            <w:r w:rsidRPr="004165D8">
              <w:rPr>
                <w:rFonts w:cs="Arial"/>
                <w:b/>
                <w:bCs/>
                <w:sz w:val="22"/>
                <w:szCs w:val="22"/>
              </w:rPr>
              <w:t>55</w:t>
            </w:r>
          </w:p>
        </w:tc>
        <w:tc>
          <w:tcPr>
            <w:tcW w:w="1516" w:type="dxa"/>
            <w:gridSpan w:val="2"/>
            <w:tcBorders>
              <w:top w:val="nil"/>
              <w:left w:val="nil"/>
              <w:bottom w:val="single" w:sz="4" w:space="0" w:color="auto"/>
              <w:right w:val="single" w:sz="4" w:space="0" w:color="auto"/>
            </w:tcBorders>
            <w:shd w:val="clear" w:color="auto" w:fill="auto"/>
            <w:noWrap/>
            <w:vAlign w:val="center"/>
            <w:hideMark/>
          </w:tcPr>
          <w:p w:rsidR="004165D8" w:rsidRPr="004165D8" w:rsidRDefault="004165D8" w:rsidP="004165D8">
            <w:pPr>
              <w:spacing w:after="0"/>
              <w:jc w:val="right"/>
              <w:rPr>
                <w:rFonts w:cs="Arial"/>
                <w:b/>
                <w:bCs/>
                <w:sz w:val="22"/>
                <w:szCs w:val="22"/>
              </w:rPr>
            </w:pPr>
            <w:r w:rsidRPr="004165D8">
              <w:rPr>
                <w:rFonts w:cs="Arial"/>
                <w:b/>
                <w:bCs/>
                <w:sz w:val="22"/>
                <w:szCs w:val="22"/>
              </w:rPr>
              <w:t> </w:t>
            </w:r>
          </w:p>
        </w:tc>
      </w:tr>
      <w:tr w:rsidR="004165D8" w:rsidRPr="004165D8" w:rsidTr="004165D8">
        <w:trPr>
          <w:trHeight w:val="449"/>
        </w:trPr>
        <w:tc>
          <w:tcPr>
            <w:tcW w:w="3087" w:type="dxa"/>
            <w:tcBorders>
              <w:top w:val="nil"/>
              <w:left w:val="single" w:sz="4" w:space="0" w:color="auto"/>
              <w:bottom w:val="single" w:sz="4" w:space="0" w:color="auto"/>
              <w:right w:val="single" w:sz="4" w:space="0" w:color="auto"/>
            </w:tcBorders>
            <w:shd w:val="clear" w:color="000000" w:fill="808080"/>
            <w:noWrap/>
            <w:vAlign w:val="center"/>
            <w:hideMark/>
          </w:tcPr>
          <w:p w:rsidR="004165D8" w:rsidRPr="004165D8" w:rsidRDefault="004165D8" w:rsidP="004165D8">
            <w:pPr>
              <w:spacing w:after="0"/>
              <w:rPr>
                <w:rFonts w:eastAsiaTheme="minorHAnsi" w:cs="Arial"/>
                <w:color w:val="auto"/>
                <w:sz w:val="22"/>
                <w:szCs w:val="22"/>
                <w:lang w:eastAsia="en-US"/>
              </w:rPr>
            </w:pPr>
            <w:r w:rsidRPr="004165D8">
              <w:rPr>
                <w:rFonts w:eastAsiaTheme="minorHAnsi" w:cs="Arial"/>
                <w:color w:val="auto"/>
                <w:sz w:val="22"/>
                <w:szCs w:val="22"/>
                <w:lang w:eastAsia="en-US"/>
              </w:rPr>
              <w:t xml:space="preserve">2018/19 </w:t>
            </w:r>
          </w:p>
        </w:tc>
        <w:tc>
          <w:tcPr>
            <w:tcW w:w="1515" w:type="dxa"/>
            <w:gridSpan w:val="2"/>
            <w:tcBorders>
              <w:top w:val="nil"/>
              <w:left w:val="nil"/>
              <w:bottom w:val="single" w:sz="4" w:space="0" w:color="auto"/>
              <w:right w:val="single" w:sz="4" w:space="0" w:color="auto"/>
            </w:tcBorders>
            <w:shd w:val="clear" w:color="000000" w:fill="808080"/>
            <w:noWrap/>
            <w:vAlign w:val="center"/>
            <w:hideMark/>
          </w:tcPr>
          <w:p w:rsidR="004165D8" w:rsidRPr="004165D8" w:rsidRDefault="004165D8" w:rsidP="004165D8">
            <w:pPr>
              <w:spacing w:after="0"/>
              <w:jc w:val="right"/>
              <w:rPr>
                <w:rFonts w:eastAsiaTheme="minorHAnsi" w:cs="Arial"/>
                <w:color w:val="auto"/>
                <w:sz w:val="22"/>
                <w:szCs w:val="22"/>
                <w:lang w:eastAsia="en-US"/>
              </w:rPr>
            </w:pPr>
            <w:r w:rsidRPr="004165D8">
              <w:rPr>
                <w:rFonts w:eastAsiaTheme="minorHAnsi" w:cs="Arial"/>
                <w:color w:val="auto"/>
                <w:sz w:val="22"/>
                <w:szCs w:val="22"/>
                <w:lang w:eastAsia="en-US"/>
              </w:rPr>
              <w:t>Number of Cases</w:t>
            </w:r>
          </w:p>
        </w:tc>
        <w:tc>
          <w:tcPr>
            <w:tcW w:w="1516" w:type="dxa"/>
            <w:gridSpan w:val="3"/>
            <w:tcBorders>
              <w:top w:val="nil"/>
              <w:left w:val="nil"/>
              <w:bottom w:val="single" w:sz="4" w:space="0" w:color="auto"/>
              <w:right w:val="single" w:sz="4" w:space="0" w:color="auto"/>
            </w:tcBorders>
            <w:shd w:val="clear" w:color="000000" w:fill="808080"/>
            <w:noWrap/>
            <w:vAlign w:val="center"/>
            <w:hideMark/>
          </w:tcPr>
          <w:p w:rsidR="004165D8" w:rsidRPr="004165D8" w:rsidRDefault="004165D8" w:rsidP="004165D8">
            <w:pPr>
              <w:spacing w:after="0"/>
              <w:jc w:val="right"/>
              <w:rPr>
                <w:rFonts w:eastAsiaTheme="minorHAnsi" w:cs="Arial"/>
                <w:color w:val="auto"/>
                <w:sz w:val="22"/>
                <w:szCs w:val="22"/>
                <w:lang w:eastAsia="en-US"/>
              </w:rPr>
            </w:pPr>
            <w:r w:rsidRPr="004165D8">
              <w:rPr>
                <w:rFonts w:eastAsiaTheme="minorHAnsi" w:cs="Arial"/>
                <w:color w:val="auto"/>
                <w:sz w:val="22"/>
                <w:szCs w:val="22"/>
                <w:lang w:eastAsia="en-US"/>
              </w:rPr>
              <w:t>Total DTOC Days</w:t>
            </w:r>
          </w:p>
        </w:tc>
        <w:tc>
          <w:tcPr>
            <w:tcW w:w="1515" w:type="dxa"/>
            <w:gridSpan w:val="2"/>
            <w:tcBorders>
              <w:top w:val="nil"/>
              <w:left w:val="nil"/>
              <w:bottom w:val="single" w:sz="4" w:space="0" w:color="auto"/>
              <w:right w:val="single" w:sz="4" w:space="0" w:color="auto"/>
            </w:tcBorders>
            <w:shd w:val="clear" w:color="000000" w:fill="808080"/>
            <w:noWrap/>
            <w:vAlign w:val="center"/>
            <w:hideMark/>
          </w:tcPr>
          <w:p w:rsidR="004165D8" w:rsidRPr="004165D8" w:rsidRDefault="004165D8" w:rsidP="004165D8">
            <w:pPr>
              <w:spacing w:after="0"/>
              <w:jc w:val="right"/>
              <w:rPr>
                <w:rFonts w:eastAsiaTheme="minorHAnsi" w:cs="Arial"/>
                <w:color w:val="auto"/>
                <w:sz w:val="22"/>
                <w:szCs w:val="22"/>
                <w:lang w:eastAsia="en-US"/>
              </w:rPr>
            </w:pPr>
            <w:r w:rsidRPr="004165D8">
              <w:rPr>
                <w:rFonts w:eastAsiaTheme="minorHAnsi" w:cs="Arial"/>
                <w:color w:val="auto"/>
                <w:sz w:val="22"/>
                <w:szCs w:val="22"/>
                <w:lang w:eastAsia="en-US"/>
              </w:rPr>
              <w:t>Hub Bed Days</w:t>
            </w:r>
          </w:p>
        </w:tc>
        <w:tc>
          <w:tcPr>
            <w:tcW w:w="1516" w:type="dxa"/>
            <w:gridSpan w:val="2"/>
            <w:tcBorders>
              <w:top w:val="nil"/>
              <w:left w:val="nil"/>
              <w:bottom w:val="single" w:sz="4" w:space="0" w:color="auto"/>
              <w:right w:val="single" w:sz="4" w:space="0" w:color="auto"/>
            </w:tcBorders>
            <w:shd w:val="clear" w:color="000000" w:fill="808080"/>
            <w:noWrap/>
            <w:vAlign w:val="center"/>
            <w:hideMark/>
          </w:tcPr>
          <w:p w:rsidR="004165D8" w:rsidRPr="004165D8" w:rsidRDefault="004165D8" w:rsidP="004165D8">
            <w:pPr>
              <w:spacing w:after="0"/>
              <w:jc w:val="right"/>
              <w:rPr>
                <w:rFonts w:eastAsiaTheme="minorHAnsi" w:cs="Arial"/>
                <w:color w:val="auto"/>
                <w:sz w:val="22"/>
                <w:szCs w:val="22"/>
                <w:lang w:eastAsia="en-US"/>
              </w:rPr>
            </w:pPr>
            <w:r w:rsidRPr="004165D8">
              <w:rPr>
                <w:rFonts w:eastAsiaTheme="minorHAnsi" w:cs="Arial"/>
                <w:color w:val="auto"/>
                <w:sz w:val="22"/>
                <w:szCs w:val="22"/>
                <w:lang w:eastAsia="en-US"/>
              </w:rPr>
              <w:t>Average Delay</w:t>
            </w:r>
          </w:p>
        </w:tc>
      </w:tr>
      <w:tr w:rsidR="004165D8" w:rsidRPr="004165D8" w:rsidTr="004165D8">
        <w:trPr>
          <w:trHeight w:val="300"/>
        </w:trPr>
        <w:tc>
          <w:tcPr>
            <w:tcW w:w="3087" w:type="dxa"/>
            <w:tcBorders>
              <w:top w:val="nil"/>
              <w:left w:val="single" w:sz="4" w:space="0" w:color="auto"/>
              <w:bottom w:val="single" w:sz="4" w:space="0" w:color="auto"/>
              <w:right w:val="single" w:sz="4" w:space="0" w:color="auto"/>
            </w:tcBorders>
            <w:shd w:val="clear" w:color="auto" w:fill="auto"/>
            <w:noWrap/>
            <w:vAlign w:val="center"/>
            <w:hideMark/>
          </w:tcPr>
          <w:p w:rsidR="004165D8" w:rsidRPr="004165D8" w:rsidRDefault="004165D8" w:rsidP="004165D8">
            <w:pPr>
              <w:spacing w:after="0"/>
              <w:rPr>
                <w:rFonts w:eastAsiaTheme="minorHAnsi" w:cs="Arial"/>
                <w:color w:val="auto"/>
                <w:sz w:val="22"/>
                <w:szCs w:val="22"/>
                <w:lang w:eastAsia="en-US"/>
              </w:rPr>
            </w:pPr>
            <w:r w:rsidRPr="004165D8">
              <w:rPr>
                <w:rFonts w:eastAsiaTheme="minorHAnsi" w:cs="Arial"/>
                <w:color w:val="auto"/>
                <w:sz w:val="22"/>
                <w:szCs w:val="22"/>
                <w:lang w:eastAsia="en-US"/>
              </w:rPr>
              <w:t>Housing only</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4165D8" w:rsidRPr="004165D8" w:rsidRDefault="004165D8" w:rsidP="004165D8">
            <w:pPr>
              <w:spacing w:after="0"/>
              <w:jc w:val="right"/>
              <w:rPr>
                <w:rFonts w:eastAsiaTheme="minorHAnsi" w:cs="Arial"/>
                <w:sz w:val="22"/>
                <w:szCs w:val="22"/>
              </w:rPr>
            </w:pPr>
            <w:r w:rsidRPr="004165D8">
              <w:rPr>
                <w:rFonts w:eastAsiaTheme="minorHAnsi" w:cs="Arial"/>
                <w:sz w:val="22"/>
                <w:szCs w:val="22"/>
              </w:rPr>
              <w:t>2</w:t>
            </w:r>
          </w:p>
        </w:tc>
        <w:tc>
          <w:tcPr>
            <w:tcW w:w="1516" w:type="dxa"/>
            <w:gridSpan w:val="3"/>
            <w:tcBorders>
              <w:top w:val="nil"/>
              <w:left w:val="nil"/>
              <w:bottom w:val="single" w:sz="4" w:space="0" w:color="auto"/>
              <w:right w:val="single" w:sz="4" w:space="0" w:color="auto"/>
            </w:tcBorders>
            <w:shd w:val="clear" w:color="auto" w:fill="auto"/>
            <w:noWrap/>
            <w:vAlign w:val="bottom"/>
            <w:hideMark/>
          </w:tcPr>
          <w:p w:rsidR="004165D8" w:rsidRPr="004165D8" w:rsidRDefault="004165D8" w:rsidP="004165D8">
            <w:pPr>
              <w:spacing w:after="0"/>
              <w:jc w:val="right"/>
              <w:rPr>
                <w:rFonts w:eastAsiaTheme="minorHAnsi" w:cs="Arial"/>
                <w:sz w:val="22"/>
                <w:szCs w:val="22"/>
              </w:rPr>
            </w:pPr>
            <w:r w:rsidRPr="004165D8">
              <w:rPr>
                <w:rFonts w:eastAsiaTheme="minorHAnsi" w:cs="Arial"/>
                <w:sz w:val="22"/>
                <w:szCs w:val="22"/>
              </w:rPr>
              <w:t>33</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4165D8" w:rsidRPr="004165D8" w:rsidRDefault="004165D8" w:rsidP="004165D8">
            <w:pPr>
              <w:spacing w:after="0"/>
              <w:jc w:val="right"/>
              <w:rPr>
                <w:rFonts w:eastAsiaTheme="minorHAnsi" w:cs="Arial"/>
                <w:sz w:val="22"/>
                <w:szCs w:val="22"/>
              </w:rPr>
            </w:pPr>
            <w:r w:rsidRPr="004165D8">
              <w:rPr>
                <w:rFonts w:eastAsiaTheme="minorHAnsi" w:cs="Arial"/>
                <w:sz w:val="22"/>
                <w:szCs w:val="22"/>
              </w:rPr>
              <w:t>0</w:t>
            </w:r>
          </w:p>
        </w:tc>
        <w:tc>
          <w:tcPr>
            <w:tcW w:w="1516" w:type="dxa"/>
            <w:gridSpan w:val="2"/>
            <w:tcBorders>
              <w:top w:val="nil"/>
              <w:left w:val="nil"/>
              <w:bottom w:val="single" w:sz="4" w:space="0" w:color="auto"/>
              <w:right w:val="single" w:sz="4" w:space="0" w:color="auto"/>
            </w:tcBorders>
            <w:shd w:val="clear" w:color="auto" w:fill="auto"/>
            <w:noWrap/>
            <w:vAlign w:val="bottom"/>
            <w:hideMark/>
          </w:tcPr>
          <w:p w:rsidR="004165D8" w:rsidRPr="004165D8" w:rsidRDefault="004165D8" w:rsidP="004165D8">
            <w:pPr>
              <w:spacing w:after="0"/>
              <w:jc w:val="right"/>
              <w:rPr>
                <w:rFonts w:eastAsiaTheme="minorHAnsi" w:cs="Arial"/>
                <w:sz w:val="22"/>
                <w:szCs w:val="22"/>
              </w:rPr>
            </w:pPr>
            <w:r w:rsidRPr="004165D8">
              <w:rPr>
                <w:rFonts w:eastAsiaTheme="minorHAnsi" w:cs="Arial"/>
                <w:sz w:val="22"/>
                <w:szCs w:val="22"/>
              </w:rPr>
              <w:t>16.50</w:t>
            </w:r>
          </w:p>
        </w:tc>
      </w:tr>
      <w:tr w:rsidR="004165D8" w:rsidRPr="004165D8" w:rsidTr="004165D8">
        <w:trPr>
          <w:trHeight w:val="300"/>
        </w:trPr>
        <w:tc>
          <w:tcPr>
            <w:tcW w:w="3087" w:type="dxa"/>
            <w:tcBorders>
              <w:top w:val="nil"/>
              <w:left w:val="single" w:sz="4" w:space="0" w:color="auto"/>
              <w:bottom w:val="single" w:sz="4" w:space="0" w:color="auto"/>
              <w:right w:val="single" w:sz="4" w:space="0" w:color="auto"/>
            </w:tcBorders>
            <w:shd w:val="clear" w:color="auto" w:fill="auto"/>
            <w:noWrap/>
            <w:vAlign w:val="center"/>
            <w:hideMark/>
          </w:tcPr>
          <w:p w:rsidR="004165D8" w:rsidRPr="004165D8" w:rsidRDefault="004165D8" w:rsidP="004165D8">
            <w:pPr>
              <w:spacing w:after="0"/>
              <w:rPr>
                <w:rFonts w:eastAsiaTheme="minorHAnsi" w:cs="Arial"/>
                <w:color w:val="auto"/>
                <w:sz w:val="22"/>
                <w:szCs w:val="22"/>
                <w:lang w:eastAsia="en-US"/>
              </w:rPr>
            </w:pPr>
            <w:r w:rsidRPr="004165D8">
              <w:rPr>
                <w:rFonts w:eastAsiaTheme="minorHAnsi" w:cs="Arial"/>
                <w:color w:val="auto"/>
                <w:sz w:val="22"/>
                <w:szCs w:val="22"/>
                <w:lang w:eastAsia="en-US"/>
              </w:rPr>
              <w:t>Housing (</w:t>
            </w:r>
            <w:proofErr w:type="spellStart"/>
            <w:r w:rsidRPr="004165D8">
              <w:rPr>
                <w:rFonts w:eastAsiaTheme="minorHAnsi" w:cs="Arial"/>
                <w:color w:val="auto"/>
                <w:sz w:val="22"/>
                <w:szCs w:val="22"/>
                <w:lang w:eastAsia="en-US"/>
              </w:rPr>
              <w:t>inc</w:t>
            </w:r>
            <w:proofErr w:type="spellEnd"/>
            <w:r w:rsidRPr="004165D8">
              <w:rPr>
                <w:rFonts w:eastAsiaTheme="minorHAnsi" w:cs="Arial"/>
                <w:color w:val="auto"/>
                <w:sz w:val="22"/>
                <w:szCs w:val="22"/>
                <w:lang w:eastAsia="en-US"/>
              </w:rPr>
              <w:t xml:space="preserve"> Hub)</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4165D8" w:rsidRPr="004165D8" w:rsidRDefault="004165D8" w:rsidP="004165D8">
            <w:pPr>
              <w:spacing w:after="0"/>
              <w:jc w:val="right"/>
              <w:rPr>
                <w:rFonts w:eastAsiaTheme="minorHAnsi" w:cs="Arial"/>
                <w:sz w:val="22"/>
                <w:szCs w:val="22"/>
              </w:rPr>
            </w:pPr>
            <w:r w:rsidRPr="004165D8">
              <w:rPr>
                <w:rFonts w:eastAsiaTheme="minorHAnsi" w:cs="Arial"/>
                <w:sz w:val="22"/>
                <w:szCs w:val="22"/>
              </w:rPr>
              <w:t>0</w:t>
            </w:r>
          </w:p>
        </w:tc>
        <w:tc>
          <w:tcPr>
            <w:tcW w:w="1516" w:type="dxa"/>
            <w:gridSpan w:val="3"/>
            <w:tcBorders>
              <w:top w:val="nil"/>
              <w:left w:val="nil"/>
              <w:bottom w:val="single" w:sz="4" w:space="0" w:color="auto"/>
              <w:right w:val="single" w:sz="4" w:space="0" w:color="auto"/>
            </w:tcBorders>
            <w:shd w:val="clear" w:color="auto" w:fill="auto"/>
            <w:noWrap/>
            <w:vAlign w:val="bottom"/>
            <w:hideMark/>
          </w:tcPr>
          <w:p w:rsidR="004165D8" w:rsidRPr="004165D8" w:rsidRDefault="004165D8" w:rsidP="004165D8">
            <w:pPr>
              <w:spacing w:after="0"/>
              <w:jc w:val="right"/>
              <w:rPr>
                <w:rFonts w:eastAsiaTheme="minorHAnsi" w:cs="Arial"/>
                <w:sz w:val="22"/>
                <w:szCs w:val="22"/>
              </w:rPr>
            </w:pPr>
            <w:r w:rsidRPr="004165D8">
              <w:rPr>
                <w:rFonts w:eastAsiaTheme="minorHAnsi" w:cs="Arial"/>
                <w:sz w:val="22"/>
                <w:szCs w:val="22"/>
              </w:rPr>
              <w:t>0</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4165D8" w:rsidRPr="004165D8" w:rsidRDefault="004165D8" w:rsidP="004165D8">
            <w:pPr>
              <w:spacing w:after="0"/>
              <w:jc w:val="right"/>
              <w:rPr>
                <w:rFonts w:eastAsiaTheme="minorHAnsi" w:cs="Arial"/>
                <w:sz w:val="22"/>
                <w:szCs w:val="22"/>
              </w:rPr>
            </w:pPr>
            <w:r w:rsidRPr="004165D8">
              <w:rPr>
                <w:rFonts w:eastAsiaTheme="minorHAnsi" w:cs="Arial"/>
                <w:sz w:val="22"/>
                <w:szCs w:val="22"/>
              </w:rPr>
              <w:t>0</w:t>
            </w:r>
          </w:p>
        </w:tc>
        <w:tc>
          <w:tcPr>
            <w:tcW w:w="1516" w:type="dxa"/>
            <w:gridSpan w:val="2"/>
            <w:tcBorders>
              <w:top w:val="nil"/>
              <w:left w:val="nil"/>
              <w:bottom w:val="single" w:sz="4" w:space="0" w:color="auto"/>
              <w:right w:val="single" w:sz="4" w:space="0" w:color="auto"/>
            </w:tcBorders>
            <w:shd w:val="clear" w:color="auto" w:fill="auto"/>
            <w:noWrap/>
            <w:vAlign w:val="bottom"/>
            <w:hideMark/>
          </w:tcPr>
          <w:p w:rsidR="004165D8" w:rsidRPr="004165D8" w:rsidRDefault="004165D8" w:rsidP="004165D8">
            <w:pPr>
              <w:spacing w:after="0"/>
              <w:jc w:val="right"/>
              <w:rPr>
                <w:rFonts w:eastAsiaTheme="minorHAnsi" w:cs="Arial"/>
                <w:sz w:val="22"/>
                <w:szCs w:val="22"/>
              </w:rPr>
            </w:pPr>
            <w:r w:rsidRPr="004165D8">
              <w:rPr>
                <w:rFonts w:eastAsiaTheme="minorHAnsi" w:cs="Arial"/>
                <w:sz w:val="22"/>
                <w:szCs w:val="22"/>
              </w:rPr>
              <w:t>0.00</w:t>
            </w:r>
          </w:p>
        </w:tc>
      </w:tr>
      <w:tr w:rsidR="004165D8" w:rsidRPr="004165D8" w:rsidTr="004165D8">
        <w:trPr>
          <w:trHeight w:val="300"/>
        </w:trPr>
        <w:tc>
          <w:tcPr>
            <w:tcW w:w="3087" w:type="dxa"/>
            <w:tcBorders>
              <w:top w:val="nil"/>
              <w:left w:val="single" w:sz="4" w:space="0" w:color="auto"/>
              <w:bottom w:val="single" w:sz="4" w:space="0" w:color="auto"/>
              <w:right w:val="single" w:sz="4" w:space="0" w:color="auto"/>
            </w:tcBorders>
            <w:shd w:val="clear" w:color="auto" w:fill="auto"/>
            <w:noWrap/>
            <w:vAlign w:val="center"/>
            <w:hideMark/>
          </w:tcPr>
          <w:p w:rsidR="004165D8" w:rsidRPr="004165D8" w:rsidRDefault="004165D8" w:rsidP="004165D8">
            <w:pPr>
              <w:spacing w:after="0"/>
              <w:rPr>
                <w:rFonts w:eastAsiaTheme="minorHAnsi" w:cs="Arial"/>
                <w:color w:val="auto"/>
                <w:sz w:val="22"/>
                <w:szCs w:val="22"/>
                <w:lang w:eastAsia="en-US"/>
              </w:rPr>
            </w:pPr>
            <w:r w:rsidRPr="004165D8">
              <w:rPr>
                <w:rFonts w:eastAsiaTheme="minorHAnsi" w:cs="Arial"/>
                <w:color w:val="auto"/>
                <w:sz w:val="22"/>
                <w:szCs w:val="22"/>
                <w:lang w:eastAsia="en-US"/>
              </w:rPr>
              <w:t>Multiple Reasons</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4165D8" w:rsidRPr="004165D8" w:rsidRDefault="004165D8" w:rsidP="004165D8">
            <w:pPr>
              <w:spacing w:after="0"/>
              <w:jc w:val="right"/>
              <w:rPr>
                <w:rFonts w:eastAsiaTheme="minorHAnsi" w:cs="Arial"/>
                <w:sz w:val="22"/>
                <w:szCs w:val="22"/>
              </w:rPr>
            </w:pPr>
            <w:r w:rsidRPr="004165D8">
              <w:rPr>
                <w:rFonts w:eastAsiaTheme="minorHAnsi" w:cs="Arial"/>
                <w:sz w:val="22"/>
                <w:szCs w:val="22"/>
              </w:rPr>
              <w:t>3</w:t>
            </w:r>
          </w:p>
        </w:tc>
        <w:tc>
          <w:tcPr>
            <w:tcW w:w="1516" w:type="dxa"/>
            <w:gridSpan w:val="3"/>
            <w:tcBorders>
              <w:top w:val="nil"/>
              <w:left w:val="nil"/>
              <w:bottom w:val="single" w:sz="4" w:space="0" w:color="auto"/>
              <w:right w:val="single" w:sz="4" w:space="0" w:color="auto"/>
            </w:tcBorders>
            <w:shd w:val="clear" w:color="auto" w:fill="auto"/>
            <w:noWrap/>
            <w:vAlign w:val="bottom"/>
            <w:hideMark/>
          </w:tcPr>
          <w:p w:rsidR="004165D8" w:rsidRPr="004165D8" w:rsidRDefault="004165D8" w:rsidP="004165D8">
            <w:pPr>
              <w:spacing w:after="0"/>
              <w:jc w:val="right"/>
              <w:rPr>
                <w:rFonts w:eastAsiaTheme="minorHAnsi" w:cs="Arial"/>
                <w:sz w:val="22"/>
                <w:szCs w:val="22"/>
              </w:rPr>
            </w:pPr>
            <w:r w:rsidRPr="004165D8">
              <w:rPr>
                <w:rFonts w:eastAsiaTheme="minorHAnsi" w:cs="Arial"/>
                <w:sz w:val="22"/>
                <w:szCs w:val="22"/>
              </w:rPr>
              <w:t>226</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4165D8" w:rsidRPr="004165D8" w:rsidRDefault="004165D8" w:rsidP="004165D8">
            <w:pPr>
              <w:spacing w:after="0"/>
              <w:jc w:val="right"/>
              <w:rPr>
                <w:rFonts w:eastAsiaTheme="minorHAnsi" w:cs="Arial"/>
                <w:sz w:val="22"/>
                <w:szCs w:val="22"/>
              </w:rPr>
            </w:pPr>
            <w:r w:rsidRPr="004165D8">
              <w:rPr>
                <w:rFonts w:eastAsiaTheme="minorHAnsi" w:cs="Arial"/>
                <w:sz w:val="22"/>
                <w:szCs w:val="22"/>
              </w:rPr>
              <w:t>0</w:t>
            </w:r>
          </w:p>
        </w:tc>
        <w:tc>
          <w:tcPr>
            <w:tcW w:w="1516" w:type="dxa"/>
            <w:gridSpan w:val="2"/>
            <w:tcBorders>
              <w:top w:val="nil"/>
              <w:left w:val="nil"/>
              <w:bottom w:val="single" w:sz="4" w:space="0" w:color="auto"/>
              <w:right w:val="single" w:sz="4" w:space="0" w:color="auto"/>
            </w:tcBorders>
            <w:shd w:val="clear" w:color="auto" w:fill="auto"/>
            <w:noWrap/>
            <w:vAlign w:val="bottom"/>
            <w:hideMark/>
          </w:tcPr>
          <w:p w:rsidR="004165D8" w:rsidRPr="004165D8" w:rsidRDefault="004165D8" w:rsidP="004165D8">
            <w:pPr>
              <w:spacing w:after="0"/>
              <w:jc w:val="right"/>
              <w:rPr>
                <w:rFonts w:eastAsiaTheme="minorHAnsi" w:cs="Arial"/>
                <w:sz w:val="22"/>
                <w:szCs w:val="22"/>
              </w:rPr>
            </w:pPr>
            <w:r w:rsidRPr="004165D8">
              <w:rPr>
                <w:rFonts w:eastAsiaTheme="minorHAnsi" w:cs="Arial"/>
                <w:sz w:val="22"/>
                <w:szCs w:val="22"/>
              </w:rPr>
              <w:t>75.33</w:t>
            </w:r>
          </w:p>
        </w:tc>
      </w:tr>
      <w:tr w:rsidR="004165D8" w:rsidRPr="004165D8" w:rsidTr="004165D8">
        <w:trPr>
          <w:trHeight w:val="300"/>
        </w:trPr>
        <w:tc>
          <w:tcPr>
            <w:tcW w:w="3087" w:type="dxa"/>
            <w:tcBorders>
              <w:top w:val="nil"/>
              <w:left w:val="single" w:sz="4" w:space="0" w:color="auto"/>
              <w:bottom w:val="single" w:sz="4" w:space="0" w:color="auto"/>
              <w:right w:val="single" w:sz="4" w:space="0" w:color="auto"/>
            </w:tcBorders>
            <w:shd w:val="clear" w:color="auto" w:fill="auto"/>
            <w:noWrap/>
            <w:vAlign w:val="center"/>
            <w:hideMark/>
          </w:tcPr>
          <w:p w:rsidR="004165D8" w:rsidRPr="004165D8" w:rsidRDefault="004165D8" w:rsidP="004165D8">
            <w:pPr>
              <w:spacing w:after="0"/>
              <w:rPr>
                <w:rFonts w:eastAsiaTheme="minorHAnsi" w:cs="Arial"/>
                <w:color w:val="auto"/>
                <w:sz w:val="22"/>
                <w:szCs w:val="22"/>
                <w:lang w:eastAsia="en-US"/>
              </w:rPr>
            </w:pPr>
            <w:r w:rsidRPr="004165D8">
              <w:rPr>
                <w:rFonts w:eastAsiaTheme="minorHAnsi" w:cs="Arial"/>
                <w:color w:val="auto"/>
                <w:sz w:val="22"/>
                <w:szCs w:val="22"/>
                <w:lang w:eastAsia="en-US"/>
              </w:rPr>
              <w:t>Multiple (</w:t>
            </w:r>
            <w:proofErr w:type="spellStart"/>
            <w:r w:rsidRPr="004165D8">
              <w:rPr>
                <w:rFonts w:eastAsiaTheme="minorHAnsi" w:cs="Arial"/>
                <w:color w:val="auto"/>
                <w:sz w:val="22"/>
                <w:szCs w:val="22"/>
                <w:lang w:eastAsia="en-US"/>
              </w:rPr>
              <w:t>inc</w:t>
            </w:r>
            <w:proofErr w:type="spellEnd"/>
            <w:r w:rsidRPr="004165D8">
              <w:rPr>
                <w:rFonts w:eastAsiaTheme="minorHAnsi" w:cs="Arial"/>
                <w:color w:val="auto"/>
                <w:sz w:val="22"/>
                <w:szCs w:val="22"/>
                <w:lang w:eastAsia="en-US"/>
              </w:rPr>
              <w:t xml:space="preserve"> Hub)</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4165D8" w:rsidRPr="004165D8" w:rsidRDefault="004165D8" w:rsidP="004165D8">
            <w:pPr>
              <w:spacing w:after="0"/>
              <w:jc w:val="right"/>
              <w:rPr>
                <w:rFonts w:eastAsiaTheme="minorHAnsi" w:cs="Arial"/>
                <w:sz w:val="22"/>
                <w:szCs w:val="22"/>
              </w:rPr>
            </w:pPr>
            <w:r w:rsidRPr="004165D8">
              <w:rPr>
                <w:rFonts w:eastAsiaTheme="minorHAnsi" w:cs="Arial"/>
                <w:sz w:val="22"/>
                <w:szCs w:val="22"/>
              </w:rPr>
              <w:t>0</w:t>
            </w:r>
          </w:p>
        </w:tc>
        <w:tc>
          <w:tcPr>
            <w:tcW w:w="1516" w:type="dxa"/>
            <w:gridSpan w:val="3"/>
            <w:tcBorders>
              <w:top w:val="nil"/>
              <w:left w:val="nil"/>
              <w:bottom w:val="single" w:sz="4" w:space="0" w:color="auto"/>
              <w:right w:val="single" w:sz="4" w:space="0" w:color="auto"/>
            </w:tcBorders>
            <w:shd w:val="clear" w:color="auto" w:fill="auto"/>
            <w:noWrap/>
            <w:vAlign w:val="bottom"/>
            <w:hideMark/>
          </w:tcPr>
          <w:p w:rsidR="004165D8" w:rsidRPr="004165D8" w:rsidRDefault="004165D8" w:rsidP="004165D8">
            <w:pPr>
              <w:spacing w:after="0"/>
              <w:jc w:val="right"/>
              <w:rPr>
                <w:rFonts w:eastAsiaTheme="minorHAnsi" w:cs="Arial"/>
                <w:sz w:val="22"/>
                <w:szCs w:val="22"/>
              </w:rPr>
            </w:pPr>
            <w:r w:rsidRPr="004165D8">
              <w:rPr>
                <w:rFonts w:eastAsiaTheme="minorHAnsi" w:cs="Arial"/>
                <w:sz w:val="22"/>
                <w:szCs w:val="22"/>
              </w:rPr>
              <w:t>0</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4165D8" w:rsidRPr="004165D8" w:rsidRDefault="004165D8" w:rsidP="004165D8">
            <w:pPr>
              <w:spacing w:after="0"/>
              <w:jc w:val="right"/>
              <w:rPr>
                <w:rFonts w:eastAsiaTheme="minorHAnsi" w:cs="Arial"/>
                <w:sz w:val="22"/>
                <w:szCs w:val="22"/>
              </w:rPr>
            </w:pPr>
            <w:r w:rsidRPr="004165D8">
              <w:rPr>
                <w:rFonts w:eastAsiaTheme="minorHAnsi" w:cs="Arial"/>
                <w:sz w:val="22"/>
                <w:szCs w:val="22"/>
              </w:rPr>
              <w:t>0</w:t>
            </w:r>
          </w:p>
        </w:tc>
        <w:tc>
          <w:tcPr>
            <w:tcW w:w="1516" w:type="dxa"/>
            <w:gridSpan w:val="2"/>
            <w:tcBorders>
              <w:top w:val="nil"/>
              <w:left w:val="nil"/>
              <w:bottom w:val="single" w:sz="4" w:space="0" w:color="auto"/>
              <w:right w:val="single" w:sz="4" w:space="0" w:color="auto"/>
            </w:tcBorders>
            <w:shd w:val="clear" w:color="auto" w:fill="auto"/>
            <w:noWrap/>
            <w:vAlign w:val="bottom"/>
            <w:hideMark/>
          </w:tcPr>
          <w:p w:rsidR="004165D8" w:rsidRPr="004165D8" w:rsidRDefault="004165D8" w:rsidP="004165D8">
            <w:pPr>
              <w:spacing w:after="0"/>
              <w:jc w:val="right"/>
              <w:rPr>
                <w:rFonts w:eastAsiaTheme="minorHAnsi" w:cs="Arial"/>
                <w:sz w:val="22"/>
                <w:szCs w:val="22"/>
              </w:rPr>
            </w:pPr>
            <w:r w:rsidRPr="004165D8">
              <w:rPr>
                <w:rFonts w:eastAsiaTheme="minorHAnsi" w:cs="Arial"/>
                <w:sz w:val="22"/>
                <w:szCs w:val="22"/>
              </w:rPr>
              <w:t>0.00</w:t>
            </w:r>
          </w:p>
        </w:tc>
      </w:tr>
      <w:tr w:rsidR="004165D8" w:rsidRPr="004165D8" w:rsidTr="004165D8">
        <w:trPr>
          <w:trHeight w:val="300"/>
        </w:trPr>
        <w:tc>
          <w:tcPr>
            <w:tcW w:w="3087" w:type="dxa"/>
            <w:tcBorders>
              <w:top w:val="nil"/>
              <w:left w:val="single" w:sz="4" w:space="0" w:color="auto"/>
              <w:bottom w:val="single" w:sz="4" w:space="0" w:color="auto"/>
              <w:right w:val="single" w:sz="4" w:space="0" w:color="auto"/>
            </w:tcBorders>
            <w:shd w:val="clear" w:color="auto" w:fill="auto"/>
            <w:noWrap/>
            <w:vAlign w:val="center"/>
            <w:hideMark/>
          </w:tcPr>
          <w:p w:rsidR="004165D8" w:rsidRPr="004165D8" w:rsidRDefault="004165D8" w:rsidP="004165D8">
            <w:pPr>
              <w:spacing w:after="0"/>
              <w:rPr>
                <w:rFonts w:eastAsiaTheme="minorHAnsi" w:cs="Arial"/>
                <w:color w:val="auto"/>
                <w:sz w:val="22"/>
                <w:szCs w:val="22"/>
                <w:lang w:eastAsia="en-US"/>
              </w:rPr>
            </w:pPr>
            <w:r w:rsidRPr="004165D8">
              <w:rPr>
                <w:rFonts w:eastAsiaTheme="minorHAnsi" w:cs="Arial"/>
                <w:b/>
                <w:color w:val="auto"/>
                <w:sz w:val="22"/>
                <w:szCs w:val="22"/>
                <w:lang w:eastAsia="en-US"/>
              </w:rPr>
              <w:t xml:space="preserve">TOTAL </w:t>
            </w:r>
            <w:r w:rsidRPr="004165D8">
              <w:rPr>
                <w:rFonts w:eastAsiaTheme="minorHAnsi" w:cs="Arial"/>
                <w:color w:val="auto"/>
                <w:sz w:val="22"/>
                <w:szCs w:val="22"/>
                <w:lang w:eastAsia="en-US"/>
              </w:rPr>
              <w:t>(11 months of data)</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4165D8" w:rsidRPr="004165D8" w:rsidRDefault="004165D8" w:rsidP="004165D8">
            <w:pPr>
              <w:spacing w:after="0"/>
              <w:jc w:val="right"/>
              <w:rPr>
                <w:rFonts w:eastAsiaTheme="minorHAnsi" w:cs="Arial"/>
                <w:b/>
                <w:bCs/>
                <w:sz w:val="22"/>
                <w:szCs w:val="22"/>
              </w:rPr>
            </w:pPr>
            <w:r w:rsidRPr="004165D8">
              <w:rPr>
                <w:rFonts w:eastAsiaTheme="minorHAnsi" w:cs="Arial"/>
                <w:b/>
                <w:bCs/>
                <w:sz w:val="22"/>
                <w:szCs w:val="22"/>
              </w:rPr>
              <w:t>5</w:t>
            </w:r>
          </w:p>
        </w:tc>
        <w:tc>
          <w:tcPr>
            <w:tcW w:w="1516" w:type="dxa"/>
            <w:gridSpan w:val="3"/>
            <w:tcBorders>
              <w:top w:val="nil"/>
              <w:left w:val="nil"/>
              <w:bottom w:val="single" w:sz="4" w:space="0" w:color="auto"/>
              <w:right w:val="single" w:sz="4" w:space="0" w:color="auto"/>
            </w:tcBorders>
            <w:shd w:val="clear" w:color="auto" w:fill="auto"/>
            <w:noWrap/>
            <w:vAlign w:val="bottom"/>
            <w:hideMark/>
          </w:tcPr>
          <w:p w:rsidR="004165D8" w:rsidRPr="004165D8" w:rsidRDefault="004165D8" w:rsidP="004165D8">
            <w:pPr>
              <w:spacing w:after="0"/>
              <w:jc w:val="right"/>
              <w:rPr>
                <w:rFonts w:eastAsiaTheme="minorHAnsi" w:cs="Arial"/>
                <w:b/>
                <w:bCs/>
                <w:sz w:val="22"/>
                <w:szCs w:val="22"/>
              </w:rPr>
            </w:pPr>
            <w:r w:rsidRPr="004165D8">
              <w:rPr>
                <w:rFonts w:eastAsiaTheme="minorHAnsi" w:cs="Arial"/>
                <w:b/>
                <w:bCs/>
                <w:sz w:val="22"/>
                <w:szCs w:val="22"/>
              </w:rPr>
              <w:t>259</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4165D8" w:rsidRPr="004165D8" w:rsidRDefault="004165D8" w:rsidP="004165D8">
            <w:pPr>
              <w:spacing w:after="0"/>
              <w:jc w:val="right"/>
              <w:rPr>
                <w:rFonts w:eastAsiaTheme="minorHAnsi" w:cs="Arial"/>
                <w:b/>
                <w:bCs/>
                <w:sz w:val="22"/>
                <w:szCs w:val="22"/>
              </w:rPr>
            </w:pPr>
            <w:r w:rsidRPr="004165D8">
              <w:rPr>
                <w:rFonts w:eastAsiaTheme="minorHAnsi" w:cs="Arial"/>
                <w:b/>
                <w:bCs/>
                <w:sz w:val="22"/>
                <w:szCs w:val="22"/>
              </w:rPr>
              <w:t>0</w:t>
            </w:r>
          </w:p>
        </w:tc>
        <w:tc>
          <w:tcPr>
            <w:tcW w:w="1516" w:type="dxa"/>
            <w:gridSpan w:val="2"/>
            <w:tcBorders>
              <w:top w:val="nil"/>
              <w:left w:val="nil"/>
              <w:bottom w:val="single" w:sz="4" w:space="0" w:color="auto"/>
              <w:right w:val="single" w:sz="4" w:space="0" w:color="auto"/>
            </w:tcBorders>
            <w:shd w:val="clear" w:color="auto" w:fill="auto"/>
            <w:noWrap/>
            <w:vAlign w:val="bottom"/>
            <w:hideMark/>
          </w:tcPr>
          <w:p w:rsidR="004165D8" w:rsidRPr="004165D8" w:rsidRDefault="004165D8" w:rsidP="004165D8">
            <w:pPr>
              <w:spacing w:after="0"/>
              <w:rPr>
                <w:rFonts w:eastAsiaTheme="minorHAnsi" w:cs="Arial"/>
                <w:b/>
                <w:bCs/>
                <w:sz w:val="22"/>
                <w:szCs w:val="22"/>
              </w:rPr>
            </w:pPr>
            <w:r w:rsidRPr="004165D8">
              <w:rPr>
                <w:rFonts w:eastAsiaTheme="minorHAnsi" w:cs="Arial"/>
                <w:b/>
                <w:bCs/>
                <w:sz w:val="22"/>
                <w:szCs w:val="22"/>
              </w:rPr>
              <w:t> </w:t>
            </w:r>
          </w:p>
        </w:tc>
      </w:tr>
      <w:tr w:rsidR="004165D8" w:rsidRPr="004165D8" w:rsidTr="004165D8">
        <w:trPr>
          <w:trHeight w:val="300"/>
        </w:trPr>
        <w:tc>
          <w:tcPr>
            <w:tcW w:w="3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65D8" w:rsidRPr="004165D8" w:rsidRDefault="004165D8" w:rsidP="004165D8">
            <w:pPr>
              <w:spacing w:after="0"/>
              <w:rPr>
                <w:rFonts w:cs="Arial"/>
                <w:b/>
                <w:bCs/>
                <w:color w:val="FF0000"/>
                <w:sz w:val="22"/>
                <w:szCs w:val="22"/>
              </w:rPr>
            </w:pPr>
            <w:r w:rsidRPr="004165D8">
              <w:rPr>
                <w:rFonts w:cs="Arial"/>
                <w:b/>
                <w:bCs/>
                <w:color w:val="FF0000"/>
                <w:sz w:val="22"/>
                <w:szCs w:val="22"/>
              </w:rPr>
              <w:t>Reduction</w:t>
            </w:r>
          </w:p>
        </w:tc>
        <w:tc>
          <w:tcPr>
            <w:tcW w:w="1515" w:type="dxa"/>
            <w:gridSpan w:val="2"/>
            <w:tcBorders>
              <w:top w:val="single" w:sz="4" w:space="0" w:color="auto"/>
              <w:left w:val="nil"/>
              <w:bottom w:val="single" w:sz="4" w:space="0" w:color="auto"/>
              <w:right w:val="single" w:sz="4" w:space="0" w:color="auto"/>
            </w:tcBorders>
            <w:shd w:val="clear" w:color="auto" w:fill="auto"/>
            <w:noWrap/>
            <w:vAlign w:val="center"/>
            <w:hideMark/>
          </w:tcPr>
          <w:p w:rsidR="004165D8" w:rsidRPr="004165D8" w:rsidRDefault="004165D8" w:rsidP="004165D8">
            <w:pPr>
              <w:spacing w:after="0"/>
              <w:jc w:val="right"/>
              <w:rPr>
                <w:rFonts w:cs="Arial"/>
                <w:b/>
                <w:bCs/>
                <w:color w:val="FF0000"/>
                <w:sz w:val="22"/>
                <w:szCs w:val="22"/>
              </w:rPr>
            </w:pPr>
            <w:r w:rsidRPr="004165D8">
              <w:rPr>
                <w:rFonts w:cs="Arial"/>
                <w:b/>
                <w:bCs/>
                <w:color w:val="FF0000"/>
                <w:sz w:val="22"/>
                <w:szCs w:val="22"/>
              </w:rPr>
              <w:t>12</w:t>
            </w:r>
          </w:p>
        </w:tc>
        <w:tc>
          <w:tcPr>
            <w:tcW w:w="1516" w:type="dxa"/>
            <w:gridSpan w:val="3"/>
            <w:tcBorders>
              <w:top w:val="single" w:sz="4" w:space="0" w:color="auto"/>
              <w:left w:val="nil"/>
              <w:bottom w:val="single" w:sz="4" w:space="0" w:color="auto"/>
              <w:right w:val="single" w:sz="4" w:space="0" w:color="auto"/>
            </w:tcBorders>
            <w:shd w:val="clear" w:color="auto" w:fill="auto"/>
            <w:noWrap/>
            <w:vAlign w:val="center"/>
            <w:hideMark/>
          </w:tcPr>
          <w:p w:rsidR="004165D8" w:rsidRPr="004165D8" w:rsidRDefault="004165D8" w:rsidP="004165D8">
            <w:pPr>
              <w:spacing w:after="0"/>
              <w:jc w:val="right"/>
              <w:rPr>
                <w:rFonts w:cs="Arial"/>
                <w:b/>
                <w:bCs/>
                <w:color w:val="FF0000"/>
                <w:sz w:val="22"/>
                <w:szCs w:val="22"/>
              </w:rPr>
            </w:pPr>
            <w:r w:rsidRPr="004165D8">
              <w:rPr>
                <w:rFonts w:cs="Arial"/>
                <w:b/>
                <w:bCs/>
                <w:color w:val="FF0000"/>
                <w:sz w:val="22"/>
                <w:szCs w:val="22"/>
              </w:rPr>
              <w:t>510 (66%)</w:t>
            </w:r>
          </w:p>
        </w:tc>
        <w:tc>
          <w:tcPr>
            <w:tcW w:w="1515" w:type="dxa"/>
            <w:gridSpan w:val="2"/>
            <w:tcBorders>
              <w:top w:val="single" w:sz="4" w:space="0" w:color="auto"/>
              <w:left w:val="nil"/>
              <w:bottom w:val="single" w:sz="4" w:space="0" w:color="auto"/>
              <w:right w:val="single" w:sz="4" w:space="0" w:color="auto"/>
            </w:tcBorders>
            <w:shd w:val="clear" w:color="auto" w:fill="auto"/>
            <w:noWrap/>
            <w:vAlign w:val="center"/>
            <w:hideMark/>
          </w:tcPr>
          <w:p w:rsidR="004165D8" w:rsidRPr="004165D8" w:rsidRDefault="004165D8" w:rsidP="004165D8">
            <w:pPr>
              <w:spacing w:after="0"/>
              <w:jc w:val="right"/>
              <w:rPr>
                <w:rFonts w:cs="Arial"/>
                <w:b/>
                <w:bCs/>
                <w:color w:val="FF0000"/>
                <w:sz w:val="22"/>
                <w:szCs w:val="22"/>
              </w:rPr>
            </w:pPr>
            <w:r w:rsidRPr="004165D8">
              <w:rPr>
                <w:rFonts w:cs="Arial"/>
                <w:b/>
                <w:bCs/>
                <w:color w:val="FF0000"/>
                <w:sz w:val="22"/>
                <w:szCs w:val="22"/>
              </w:rPr>
              <w:t>55 (100%)</w:t>
            </w:r>
          </w:p>
        </w:tc>
        <w:tc>
          <w:tcPr>
            <w:tcW w:w="1516" w:type="dxa"/>
            <w:gridSpan w:val="2"/>
            <w:tcBorders>
              <w:top w:val="single" w:sz="4" w:space="0" w:color="auto"/>
              <w:left w:val="nil"/>
              <w:bottom w:val="single" w:sz="4" w:space="0" w:color="auto"/>
              <w:right w:val="single" w:sz="4" w:space="0" w:color="auto"/>
            </w:tcBorders>
            <w:shd w:val="clear" w:color="auto" w:fill="auto"/>
            <w:noWrap/>
            <w:vAlign w:val="center"/>
            <w:hideMark/>
          </w:tcPr>
          <w:p w:rsidR="004165D8" w:rsidRPr="004165D8" w:rsidRDefault="004165D8" w:rsidP="004165D8">
            <w:pPr>
              <w:spacing w:after="0"/>
              <w:jc w:val="right"/>
              <w:rPr>
                <w:rFonts w:cs="Arial"/>
                <w:b/>
                <w:bCs/>
                <w:sz w:val="22"/>
                <w:szCs w:val="22"/>
              </w:rPr>
            </w:pPr>
            <w:r w:rsidRPr="004165D8">
              <w:rPr>
                <w:rFonts w:cs="Arial"/>
                <w:b/>
                <w:bCs/>
                <w:sz w:val="22"/>
                <w:szCs w:val="22"/>
              </w:rPr>
              <w:t> </w:t>
            </w:r>
          </w:p>
        </w:tc>
      </w:tr>
      <w:tr w:rsidR="004165D8" w:rsidRPr="004165D8" w:rsidTr="004165D8">
        <w:trPr>
          <w:gridAfter w:val="1"/>
          <w:wAfter w:w="62" w:type="dxa"/>
          <w:trHeight w:val="300"/>
        </w:trPr>
        <w:tc>
          <w:tcPr>
            <w:tcW w:w="3134" w:type="dxa"/>
            <w:gridSpan w:val="2"/>
            <w:tcBorders>
              <w:top w:val="single" w:sz="4" w:space="0" w:color="auto"/>
              <w:left w:val="single" w:sz="4" w:space="0" w:color="auto"/>
              <w:bottom w:val="single" w:sz="4" w:space="0" w:color="auto"/>
              <w:right w:val="single" w:sz="4" w:space="0" w:color="auto"/>
            </w:tcBorders>
            <w:shd w:val="clear" w:color="auto" w:fill="00B0F0"/>
            <w:noWrap/>
            <w:vAlign w:val="center"/>
          </w:tcPr>
          <w:p w:rsidR="004165D8" w:rsidRPr="004165D8" w:rsidRDefault="004165D8" w:rsidP="004165D8">
            <w:pPr>
              <w:spacing w:after="0"/>
              <w:rPr>
                <w:rFonts w:cs="Arial"/>
                <w:bCs/>
                <w:color w:val="auto"/>
                <w:sz w:val="22"/>
                <w:szCs w:val="22"/>
              </w:rPr>
            </w:pPr>
            <w:r w:rsidRPr="004165D8">
              <w:rPr>
                <w:rFonts w:cs="Arial"/>
                <w:bCs/>
                <w:color w:val="auto"/>
                <w:sz w:val="22"/>
                <w:szCs w:val="22"/>
              </w:rPr>
              <w:t>2019/20 (April to July)</w:t>
            </w:r>
          </w:p>
        </w:tc>
        <w:tc>
          <w:tcPr>
            <w:tcW w:w="1488" w:type="dxa"/>
            <w:gridSpan w:val="2"/>
            <w:tcBorders>
              <w:top w:val="single" w:sz="4" w:space="0" w:color="auto"/>
              <w:left w:val="nil"/>
              <w:bottom w:val="single" w:sz="4" w:space="0" w:color="auto"/>
              <w:right w:val="single" w:sz="4" w:space="0" w:color="auto"/>
            </w:tcBorders>
            <w:shd w:val="clear" w:color="auto" w:fill="00B0F0"/>
            <w:noWrap/>
          </w:tcPr>
          <w:p w:rsidR="004165D8" w:rsidRPr="004165D8" w:rsidRDefault="004165D8" w:rsidP="004165D8">
            <w:pPr>
              <w:spacing w:after="0"/>
              <w:jc w:val="right"/>
              <w:rPr>
                <w:rFonts w:eastAsiaTheme="minorHAnsi" w:cs="Arial"/>
                <w:color w:val="auto"/>
                <w:sz w:val="22"/>
                <w:szCs w:val="22"/>
                <w:lang w:eastAsia="en-US"/>
              </w:rPr>
            </w:pPr>
            <w:r w:rsidRPr="004165D8">
              <w:rPr>
                <w:rFonts w:eastAsiaTheme="minorHAnsi" w:cs="Arial"/>
                <w:color w:val="auto"/>
                <w:sz w:val="22"/>
                <w:szCs w:val="22"/>
                <w:lang w:eastAsia="en-US"/>
              </w:rPr>
              <w:t>Number of Cases</w:t>
            </w:r>
          </w:p>
        </w:tc>
        <w:tc>
          <w:tcPr>
            <w:tcW w:w="1488" w:type="dxa"/>
            <w:tcBorders>
              <w:top w:val="single" w:sz="4" w:space="0" w:color="auto"/>
              <w:left w:val="nil"/>
              <w:bottom w:val="single" w:sz="4" w:space="0" w:color="auto"/>
              <w:right w:val="single" w:sz="4" w:space="0" w:color="auto"/>
            </w:tcBorders>
            <w:shd w:val="clear" w:color="auto" w:fill="00B0F0"/>
            <w:noWrap/>
          </w:tcPr>
          <w:p w:rsidR="004165D8" w:rsidRPr="004165D8" w:rsidRDefault="004165D8" w:rsidP="004165D8">
            <w:pPr>
              <w:spacing w:after="0"/>
              <w:jc w:val="right"/>
              <w:rPr>
                <w:rFonts w:eastAsiaTheme="minorHAnsi" w:cs="Arial"/>
                <w:color w:val="auto"/>
                <w:sz w:val="22"/>
                <w:szCs w:val="22"/>
                <w:lang w:eastAsia="en-US"/>
              </w:rPr>
            </w:pPr>
            <w:r w:rsidRPr="004165D8">
              <w:rPr>
                <w:rFonts w:eastAsiaTheme="minorHAnsi" w:cs="Arial"/>
                <w:color w:val="auto"/>
                <w:sz w:val="22"/>
                <w:szCs w:val="22"/>
                <w:lang w:eastAsia="en-US"/>
              </w:rPr>
              <w:t>Total DTOC Days</w:t>
            </w:r>
          </w:p>
        </w:tc>
        <w:tc>
          <w:tcPr>
            <w:tcW w:w="1488" w:type="dxa"/>
            <w:gridSpan w:val="2"/>
            <w:tcBorders>
              <w:top w:val="single" w:sz="4" w:space="0" w:color="auto"/>
              <w:left w:val="nil"/>
              <w:bottom w:val="single" w:sz="4" w:space="0" w:color="auto"/>
              <w:right w:val="single" w:sz="4" w:space="0" w:color="auto"/>
            </w:tcBorders>
            <w:shd w:val="clear" w:color="auto" w:fill="00B0F0"/>
            <w:noWrap/>
          </w:tcPr>
          <w:p w:rsidR="004165D8" w:rsidRPr="004165D8" w:rsidRDefault="004165D8" w:rsidP="004165D8">
            <w:pPr>
              <w:spacing w:after="0"/>
              <w:jc w:val="right"/>
              <w:rPr>
                <w:rFonts w:eastAsiaTheme="minorHAnsi" w:cs="Arial"/>
                <w:color w:val="auto"/>
                <w:sz w:val="22"/>
                <w:szCs w:val="22"/>
                <w:lang w:eastAsia="en-US"/>
              </w:rPr>
            </w:pPr>
            <w:r w:rsidRPr="004165D8">
              <w:rPr>
                <w:rFonts w:eastAsiaTheme="minorHAnsi" w:cs="Arial"/>
                <w:color w:val="auto"/>
                <w:sz w:val="22"/>
                <w:szCs w:val="22"/>
                <w:lang w:eastAsia="en-US"/>
              </w:rPr>
              <w:t>Hub Bed Days</w:t>
            </w:r>
          </w:p>
        </w:tc>
        <w:tc>
          <w:tcPr>
            <w:tcW w:w="1489" w:type="dxa"/>
            <w:gridSpan w:val="2"/>
            <w:tcBorders>
              <w:top w:val="single" w:sz="4" w:space="0" w:color="auto"/>
              <w:left w:val="nil"/>
              <w:bottom w:val="single" w:sz="4" w:space="0" w:color="auto"/>
              <w:right w:val="single" w:sz="4" w:space="0" w:color="auto"/>
            </w:tcBorders>
            <w:shd w:val="clear" w:color="auto" w:fill="00B0F0"/>
            <w:noWrap/>
          </w:tcPr>
          <w:p w:rsidR="004165D8" w:rsidRPr="004165D8" w:rsidRDefault="004165D8" w:rsidP="004165D8">
            <w:pPr>
              <w:spacing w:after="0"/>
              <w:jc w:val="right"/>
              <w:rPr>
                <w:rFonts w:eastAsiaTheme="minorHAnsi" w:cs="Arial"/>
                <w:color w:val="auto"/>
                <w:sz w:val="22"/>
                <w:szCs w:val="22"/>
                <w:lang w:eastAsia="en-US"/>
              </w:rPr>
            </w:pPr>
            <w:r w:rsidRPr="004165D8">
              <w:rPr>
                <w:rFonts w:eastAsiaTheme="minorHAnsi" w:cs="Arial"/>
                <w:color w:val="auto"/>
                <w:sz w:val="22"/>
                <w:szCs w:val="22"/>
                <w:lang w:eastAsia="en-US"/>
              </w:rPr>
              <w:t>Average Delay</w:t>
            </w:r>
          </w:p>
        </w:tc>
      </w:tr>
      <w:tr w:rsidR="004165D8" w:rsidRPr="004165D8" w:rsidTr="004165D8">
        <w:trPr>
          <w:gridAfter w:val="1"/>
          <w:wAfter w:w="62" w:type="dxa"/>
          <w:trHeight w:val="300"/>
        </w:trPr>
        <w:tc>
          <w:tcPr>
            <w:tcW w:w="3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165D8" w:rsidRPr="004165D8" w:rsidRDefault="004165D8" w:rsidP="004165D8">
            <w:pPr>
              <w:spacing w:after="0"/>
              <w:rPr>
                <w:rFonts w:cs="Arial"/>
                <w:sz w:val="22"/>
                <w:szCs w:val="22"/>
              </w:rPr>
            </w:pPr>
            <w:r w:rsidRPr="004165D8">
              <w:rPr>
                <w:rFonts w:cs="Arial"/>
                <w:sz w:val="22"/>
                <w:szCs w:val="22"/>
              </w:rPr>
              <w:t>Housing only</w:t>
            </w:r>
          </w:p>
        </w:tc>
        <w:tc>
          <w:tcPr>
            <w:tcW w:w="1488" w:type="dxa"/>
            <w:gridSpan w:val="2"/>
            <w:tcBorders>
              <w:top w:val="single" w:sz="4" w:space="0" w:color="auto"/>
              <w:left w:val="nil"/>
              <w:bottom w:val="single" w:sz="4" w:space="0" w:color="auto"/>
              <w:right w:val="single" w:sz="4" w:space="0" w:color="auto"/>
            </w:tcBorders>
            <w:shd w:val="clear" w:color="auto" w:fill="auto"/>
            <w:noWrap/>
            <w:vAlign w:val="bottom"/>
          </w:tcPr>
          <w:p w:rsidR="004165D8" w:rsidRPr="004165D8" w:rsidRDefault="004165D8" w:rsidP="004165D8">
            <w:pPr>
              <w:spacing w:after="0"/>
              <w:jc w:val="right"/>
              <w:rPr>
                <w:rFonts w:eastAsiaTheme="minorHAnsi" w:cs="Arial"/>
                <w:sz w:val="22"/>
                <w:szCs w:val="22"/>
              </w:rPr>
            </w:pPr>
            <w:r w:rsidRPr="004165D8">
              <w:rPr>
                <w:rFonts w:eastAsiaTheme="minorHAnsi" w:cs="Arial"/>
                <w:sz w:val="22"/>
                <w:szCs w:val="22"/>
              </w:rPr>
              <w:t>2</w:t>
            </w:r>
          </w:p>
        </w:tc>
        <w:tc>
          <w:tcPr>
            <w:tcW w:w="1488" w:type="dxa"/>
            <w:tcBorders>
              <w:top w:val="single" w:sz="4" w:space="0" w:color="auto"/>
              <w:left w:val="nil"/>
              <w:bottom w:val="single" w:sz="4" w:space="0" w:color="auto"/>
              <w:right w:val="single" w:sz="4" w:space="0" w:color="auto"/>
            </w:tcBorders>
            <w:shd w:val="clear" w:color="auto" w:fill="auto"/>
            <w:noWrap/>
            <w:vAlign w:val="bottom"/>
          </w:tcPr>
          <w:p w:rsidR="004165D8" w:rsidRPr="004165D8" w:rsidRDefault="004165D8" w:rsidP="004165D8">
            <w:pPr>
              <w:spacing w:after="0"/>
              <w:jc w:val="right"/>
              <w:rPr>
                <w:rFonts w:eastAsiaTheme="minorHAnsi" w:cs="Arial"/>
                <w:sz w:val="22"/>
                <w:szCs w:val="22"/>
              </w:rPr>
            </w:pPr>
            <w:r w:rsidRPr="004165D8">
              <w:rPr>
                <w:rFonts w:eastAsiaTheme="minorHAnsi" w:cs="Arial"/>
                <w:sz w:val="22"/>
                <w:szCs w:val="22"/>
              </w:rPr>
              <w:t>29</w:t>
            </w:r>
          </w:p>
        </w:tc>
        <w:tc>
          <w:tcPr>
            <w:tcW w:w="1488" w:type="dxa"/>
            <w:gridSpan w:val="2"/>
            <w:tcBorders>
              <w:top w:val="single" w:sz="4" w:space="0" w:color="auto"/>
              <w:left w:val="nil"/>
              <w:bottom w:val="single" w:sz="4" w:space="0" w:color="auto"/>
              <w:right w:val="single" w:sz="4" w:space="0" w:color="auto"/>
            </w:tcBorders>
            <w:shd w:val="clear" w:color="auto" w:fill="auto"/>
            <w:noWrap/>
            <w:vAlign w:val="bottom"/>
          </w:tcPr>
          <w:p w:rsidR="004165D8" w:rsidRPr="004165D8" w:rsidRDefault="004165D8" w:rsidP="004165D8">
            <w:pPr>
              <w:spacing w:after="0"/>
              <w:jc w:val="right"/>
              <w:rPr>
                <w:rFonts w:eastAsiaTheme="minorHAnsi" w:cs="Arial"/>
                <w:sz w:val="22"/>
                <w:szCs w:val="22"/>
              </w:rPr>
            </w:pPr>
            <w:r w:rsidRPr="004165D8">
              <w:rPr>
                <w:rFonts w:eastAsiaTheme="minorHAnsi" w:cs="Arial"/>
                <w:sz w:val="22"/>
                <w:szCs w:val="22"/>
              </w:rPr>
              <w:t>49</w:t>
            </w:r>
          </w:p>
        </w:tc>
        <w:tc>
          <w:tcPr>
            <w:tcW w:w="1489" w:type="dxa"/>
            <w:gridSpan w:val="2"/>
            <w:tcBorders>
              <w:top w:val="single" w:sz="4" w:space="0" w:color="auto"/>
              <w:left w:val="nil"/>
              <w:bottom w:val="single" w:sz="4" w:space="0" w:color="auto"/>
              <w:right w:val="single" w:sz="4" w:space="0" w:color="auto"/>
            </w:tcBorders>
            <w:shd w:val="clear" w:color="auto" w:fill="auto"/>
            <w:noWrap/>
            <w:vAlign w:val="bottom"/>
          </w:tcPr>
          <w:p w:rsidR="004165D8" w:rsidRPr="004165D8" w:rsidRDefault="004165D8" w:rsidP="004165D8">
            <w:pPr>
              <w:spacing w:after="0"/>
              <w:jc w:val="right"/>
              <w:rPr>
                <w:rFonts w:eastAsiaTheme="minorHAnsi" w:cs="Arial"/>
                <w:sz w:val="22"/>
                <w:szCs w:val="22"/>
              </w:rPr>
            </w:pPr>
            <w:r w:rsidRPr="004165D8">
              <w:rPr>
                <w:rFonts w:eastAsiaTheme="minorHAnsi" w:cs="Arial"/>
                <w:sz w:val="22"/>
                <w:szCs w:val="22"/>
              </w:rPr>
              <w:t>39.00</w:t>
            </w:r>
          </w:p>
        </w:tc>
      </w:tr>
      <w:tr w:rsidR="004165D8" w:rsidRPr="004165D8" w:rsidTr="004165D8">
        <w:trPr>
          <w:gridAfter w:val="1"/>
          <w:wAfter w:w="62" w:type="dxa"/>
          <w:trHeight w:val="300"/>
        </w:trPr>
        <w:tc>
          <w:tcPr>
            <w:tcW w:w="3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165D8" w:rsidRPr="004165D8" w:rsidRDefault="004165D8" w:rsidP="004165D8">
            <w:pPr>
              <w:spacing w:after="0"/>
              <w:rPr>
                <w:rFonts w:cs="Arial"/>
                <w:sz w:val="22"/>
                <w:szCs w:val="22"/>
              </w:rPr>
            </w:pPr>
            <w:r w:rsidRPr="004165D8">
              <w:rPr>
                <w:rFonts w:cs="Arial"/>
                <w:sz w:val="22"/>
                <w:szCs w:val="22"/>
              </w:rPr>
              <w:t>Housing (</w:t>
            </w:r>
            <w:proofErr w:type="spellStart"/>
            <w:r w:rsidRPr="004165D8">
              <w:rPr>
                <w:rFonts w:cs="Arial"/>
                <w:sz w:val="22"/>
                <w:szCs w:val="22"/>
              </w:rPr>
              <w:t>inc</w:t>
            </w:r>
            <w:proofErr w:type="spellEnd"/>
            <w:r w:rsidRPr="004165D8">
              <w:rPr>
                <w:rFonts w:cs="Arial"/>
                <w:sz w:val="22"/>
                <w:szCs w:val="22"/>
              </w:rPr>
              <w:t xml:space="preserve"> Hub)</w:t>
            </w:r>
          </w:p>
        </w:tc>
        <w:tc>
          <w:tcPr>
            <w:tcW w:w="1488" w:type="dxa"/>
            <w:gridSpan w:val="2"/>
            <w:tcBorders>
              <w:top w:val="single" w:sz="4" w:space="0" w:color="auto"/>
              <w:left w:val="nil"/>
              <w:bottom w:val="single" w:sz="4" w:space="0" w:color="auto"/>
              <w:right w:val="single" w:sz="4" w:space="0" w:color="auto"/>
            </w:tcBorders>
            <w:shd w:val="clear" w:color="auto" w:fill="auto"/>
            <w:noWrap/>
            <w:vAlign w:val="bottom"/>
          </w:tcPr>
          <w:p w:rsidR="004165D8" w:rsidRPr="004165D8" w:rsidRDefault="004165D8" w:rsidP="004165D8">
            <w:pPr>
              <w:spacing w:after="0"/>
              <w:jc w:val="right"/>
              <w:rPr>
                <w:rFonts w:eastAsiaTheme="minorHAnsi" w:cs="Arial"/>
                <w:sz w:val="22"/>
                <w:szCs w:val="22"/>
              </w:rPr>
            </w:pPr>
            <w:r w:rsidRPr="004165D8">
              <w:rPr>
                <w:rFonts w:eastAsiaTheme="minorHAnsi" w:cs="Arial"/>
                <w:sz w:val="22"/>
                <w:szCs w:val="22"/>
              </w:rPr>
              <w:t>0</w:t>
            </w:r>
          </w:p>
        </w:tc>
        <w:tc>
          <w:tcPr>
            <w:tcW w:w="1488" w:type="dxa"/>
            <w:tcBorders>
              <w:top w:val="single" w:sz="4" w:space="0" w:color="auto"/>
              <w:left w:val="nil"/>
              <w:bottom w:val="single" w:sz="4" w:space="0" w:color="auto"/>
              <w:right w:val="single" w:sz="4" w:space="0" w:color="auto"/>
            </w:tcBorders>
            <w:shd w:val="clear" w:color="auto" w:fill="auto"/>
            <w:noWrap/>
            <w:vAlign w:val="bottom"/>
          </w:tcPr>
          <w:p w:rsidR="004165D8" w:rsidRPr="004165D8" w:rsidRDefault="004165D8" w:rsidP="004165D8">
            <w:pPr>
              <w:spacing w:after="0"/>
              <w:jc w:val="right"/>
              <w:rPr>
                <w:rFonts w:eastAsiaTheme="minorHAnsi" w:cs="Arial"/>
                <w:sz w:val="22"/>
                <w:szCs w:val="22"/>
              </w:rPr>
            </w:pPr>
            <w:r w:rsidRPr="004165D8">
              <w:rPr>
                <w:rFonts w:eastAsiaTheme="minorHAnsi" w:cs="Arial"/>
                <w:sz w:val="22"/>
                <w:szCs w:val="22"/>
              </w:rPr>
              <w:t>0</w:t>
            </w:r>
          </w:p>
        </w:tc>
        <w:tc>
          <w:tcPr>
            <w:tcW w:w="1488" w:type="dxa"/>
            <w:gridSpan w:val="2"/>
            <w:tcBorders>
              <w:top w:val="single" w:sz="4" w:space="0" w:color="auto"/>
              <w:left w:val="nil"/>
              <w:bottom w:val="single" w:sz="4" w:space="0" w:color="auto"/>
              <w:right w:val="single" w:sz="4" w:space="0" w:color="auto"/>
            </w:tcBorders>
            <w:shd w:val="clear" w:color="auto" w:fill="auto"/>
            <w:noWrap/>
            <w:vAlign w:val="bottom"/>
          </w:tcPr>
          <w:p w:rsidR="004165D8" w:rsidRPr="004165D8" w:rsidRDefault="004165D8" w:rsidP="004165D8">
            <w:pPr>
              <w:spacing w:after="0"/>
              <w:jc w:val="right"/>
              <w:rPr>
                <w:rFonts w:eastAsiaTheme="minorHAnsi" w:cs="Arial"/>
                <w:sz w:val="22"/>
                <w:szCs w:val="22"/>
              </w:rPr>
            </w:pPr>
            <w:r w:rsidRPr="004165D8">
              <w:rPr>
                <w:rFonts w:eastAsiaTheme="minorHAnsi" w:cs="Arial"/>
                <w:sz w:val="22"/>
                <w:szCs w:val="22"/>
              </w:rPr>
              <w:t>0</w:t>
            </w:r>
          </w:p>
        </w:tc>
        <w:tc>
          <w:tcPr>
            <w:tcW w:w="1489" w:type="dxa"/>
            <w:gridSpan w:val="2"/>
            <w:tcBorders>
              <w:top w:val="single" w:sz="4" w:space="0" w:color="auto"/>
              <w:left w:val="nil"/>
              <w:bottom w:val="single" w:sz="4" w:space="0" w:color="auto"/>
              <w:right w:val="single" w:sz="4" w:space="0" w:color="auto"/>
            </w:tcBorders>
            <w:shd w:val="clear" w:color="auto" w:fill="auto"/>
            <w:noWrap/>
            <w:vAlign w:val="bottom"/>
          </w:tcPr>
          <w:p w:rsidR="004165D8" w:rsidRPr="004165D8" w:rsidRDefault="004165D8" w:rsidP="004165D8">
            <w:pPr>
              <w:spacing w:after="0"/>
              <w:jc w:val="right"/>
              <w:rPr>
                <w:rFonts w:eastAsiaTheme="minorHAnsi" w:cs="Arial"/>
                <w:sz w:val="22"/>
                <w:szCs w:val="22"/>
              </w:rPr>
            </w:pPr>
            <w:r w:rsidRPr="004165D8">
              <w:rPr>
                <w:rFonts w:eastAsiaTheme="minorHAnsi" w:cs="Arial"/>
                <w:sz w:val="22"/>
                <w:szCs w:val="22"/>
              </w:rPr>
              <w:t>0.00</w:t>
            </w:r>
          </w:p>
        </w:tc>
      </w:tr>
      <w:tr w:rsidR="004165D8" w:rsidRPr="004165D8" w:rsidTr="004165D8">
        <w:trPr>
          <w:gridAfter w:val="1"/>
          <w:wAfter w:w="62" w:type="dxa"/>
          <w:trHeight w:val="300"/>
        </w:trPr>
        <w:tc>
          <w:tcPr>
            <w:tcW w:w="3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165D8" w:rsidRPr="004165D8" w:rsidRDefault="004165D8" w:rsidP="004165D8">
            <w:pPr>
              <w:spacing w:after="0"/>
              <w:rPr>
                <w:rFonts w:cs="Arial"/>
                <w:sz w:val="22"/>
                <w:szCs w:val="22"/>
              </w:rPr>
            </w:pPr>
            <w:r w:rsidRPr="004165D8">
              <w:rPr>
                <w:rFonts w:cs="Arial"/>
                <w:sz w:val="22"/>
                <w:szCs w:val="22"/>
              </w:rPr>
              <w:t>Multiple Reasons</w:t>
            </w:r>
          </w:p>
        </w:tc>
        <w:tc>
          <w:tcPr>
            <w:tcW w:w="1488" w:type="dxa"/>
            <w:gridSpan w:val="2"/>
            <w:tcBorders>
              <w:top w:val="single" w:sz="4" w:space="0" w:color="auto"/>
              <w:left w:val="nil"/>
              <w:bottom w:val="single" w:sz="4" w:space="0" w:color="auto"/>
              <w:right w:val="single" w:sz="4" w:space="0" w:color="auto"/>
            </w:tcBorders>
            <w:shd w:val="clear" w:color="auto" w:fill="auto"/>
            <w:noWrap/>
            <w:vAlign w:val="bottom"/>
          </w:tcPr>
          <w:p w:rsidR="004165D8" w:rsidRPr="004165D8" w:rsidRDefault="004165D8" w:rsidP="004165D8">
            <w:pPr>
              <w:spacing w:after="0"/>
              <w:jc w:val="right"/>
              <w:rPr>
                <w:rFonts w:eastAsiaTheme="minorHAnsi" w:cs="Arial"/>
                <w:sz w:val="22"/>
                <w:szCs w:val="22"/>
              </w:rPr>
            </w:pPr>
            <w:r w:rsidRPr="004165D8">
              <w:rPr>
                <w:rFonts w:eastAsiaTheme="minorHAnsi" w:cs="Arial"/>
                <w:sz w:val="22"/>
                <w:szCs w:val="22"/>
              </w:rPr>
              <w:t>0</w:t>
            </w:r>
          </w:p>
        </w:tc>
        <w:tc>
          <w:tcPr>
            <w:tcW w:w="1488" w:type="dxa"/>
            <w:tcBorders>
              <w:top w:val="single" w:sz="4" w:space="0" w:color="auto"/>
              <w:left w:val="nil"/>
              <w:bottom w:val="single" w:sz="4" w:space="0" w:color="auto"/>
              <w:right w:val="single" w:sz="4" w:space="0" w:color="auto"/>
            </w:tcBorders>
            <w:shd w:val="clear" w:color="auto" w:fill="auto"/>
            <w:noWrap/>
            <w:vAlign w:val="bottom"/>
          </w:tcPr>
          <w:p w:rsidR="004165D8" w:rsidRPr="004165D8" w:rsidRDefault="004165D8" w:rsidP="004165D8">
            <w:pPr>
              <w:spacing w:after="0"/>
              <w:jc w:val="right"/>
              <w:rPr>
                <w:rFonts w:eastAsiaTheme="minorHAnsi" w:cs="Arial"/>
                <w:sz w:val="22"/>
                <w:szCs w:val="22"/>
              </w:rPr>
            </w:pPr>
            <w:r w:rsidRPr="004165D8">
              <w:rPr>
                <w:rFonts w:eastAsiaTheme="minorHAnsi" w:cs="Arial"/>
                <w:sz w:val="22"/>
                <w:szCs w:val="22"/>
              </w:rPr>
              <w:t>0</w:t>
            </w:r>
          </w:p>
        </w:tc>
        <w:tc>
          <w:tcPr>
            <w:tcW w:w="1488" w:type="dxa"/>
            <w:gridSpan w:val="2"/>
            <w:tcBorders>
              <w:top w:val="single" w:sz="4" w:space="0" w:color="auto"/>
              <w:left w:val="nil"/>
              <w:bottom w:val="single" w:sz="4" w:space="0" w:color="auto"/>
              <w:right w:val="single" w:sz="4" w:space="0" w:color="auto"/>
            </w:tcBorders>
            <w:shd w:val="clear" w:color="auto" w:fill="auto"/>
            <w:noWrap/>
            <w:vAlign w:val="bottom"/>
          </w:tcPr>
          <w:p w:rsidR="004165D8" w:rsidRPr="004165D8" w:rsidRDefault="004165D8" w:rsidP="004165D8">
            <w:pPr>
              <w:spacing w:after="0"/>
              <w:jc w:val="right"/>
              <w:rPr>
                <w:rFonts w:eastAsiaTheme="minorHAnsi" w:cs="Arial"/>
                <w:sz w:val="22"/>
                <w:szCs w:val="22"/>
              </w:rPr>
            </w:pPr>
            <w:r w:rsidRPr="004165D8">
              <w:rPr>
                <w:rFonts w:eastAsiaTheme="minorHAnsi" w:cs="Arial"/>
                <w:sz w:val="22"/>
                <w:szCs w:val="22"/>
              </w:rPr>
              <w:t>0</w:t>
            </w:r>
          </w:p>
        </w:tc>
        <w:tc>
          <w:tcPr>
            <w:tcW w:w="1489" w:type="dxa"/>
            <w:gridSpan w:val="2"/>
            <w:tcBorders>
              <w:top w:val="single" w:sz="4" w:space="0" w:color="auto"/>
              <w:left w:val="nil"/>
              <w:bottom w:val="single" w:sz="4" w:space="0" w:color="auto"/>
              <w:right w:val="single" w:sz="4" w:space="0" w:color="auto"/>
            </w:tcBorders>
            <w:shd w:val="clear" w:color="auto" w:fill="auto"/>
            <w:noWrap/>
            <w:vAlign w:val="bottom"/>
          </w:tcPr>
          <w:p w:rsidR="004165D8" w:rsidRPr="004165D8" w:rsidRDefault="004165D8" w:rsidP="004165D8">
            <w:pPr>
              <w:spacing w:after="0"/>
              <w:jc w:val="right"/>
              <w:rPr>
                <w:rFonts w:eastAsiaTheme="minorHAnsi" w:cs="Arial"/>
                <w:sz w:val="22"/>
                <w:szCs w:val="22"/>
              </w:rPr>
            </w:pPr>
            <w:r w:rsidRPr="004165D8">
              <w:rPr>
                <w:rFonts w:eastAsiaTheme="minorHAnsi" w:cs="Arial"/>
                <w:sz w:val="22"/>
                <w:szCs w:val="22"/>
              </w:rPr>
              <w:t>0.00</w:t>
            </w:r>
          </w:p>
        </w:tc>
      </w:tr>
      <w:tr w:rsidR="004165D8" w:rsidRPr="004165D8" w:rsidTr="004165D8">
        <w:trPr>
          <w:gridAfter w:val="1"/>
          <w:wAfter w:w="62" w:type="dxa"/>
          <w:trHeight w:val="300"/>
        </w:trPr>
        <w:tc>
          <w:tcPr>
            <w:tcW w:w="3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165D8" w:rsidRPr="004165D8" w:rsidRDefault="004165D8" w:rsidP="004165D8">
            <w:pPr>
              <w:spacing w:after="0"/>
              <w:rPr>
                <w:rFonts w:cs="Arial"/>
                <w:sz w:val="22"/>
                <w:szCs w:val="22"/>
              </w:rPr>
            </w:pPr>
            <w:r w:rsidRPr="004165D8">
              <w:rPr>
                <w:rFonts w:cs="Arial"/>
                <w:sz w:val="22"/>
                <w:szCs w:val="22"/>
              </w:rPr>
              <w:t>Multiple (</w:t>
            </w:r>
            <w:proofErr w:type="spellStart"/>
            <w:r w:rsidRPr="004165D8">
              <w:rPr>
                <w:rFonts w:cs="Arial"/>
                <w:sz w:val="22"/>
                <w:szCs w:val="22"/>
              </w:rPr>
              <w:t>inc</w:t>
            </w:r>
            <w:proofErr w:type="spellEnd"/>
            <w:r w:rsidRPr="004165D8">
              <w:rPr>
                <w:rFonts w:cs="Arial"/>
                <w:sz w:val="22"/>
                <w:szCs w:val="22"/>
              </w:rPr>
              <w:t xml:space="preserve"> Hub)</w:t>
            </w:r>
          </w:p>
        </w:tc>
        <w:tc>
          <w:tcPr>
            <w:tcW w:w="1488" w:type="dxa"/>
            <w:gridSpan w:val="2"/>
            <w:tcBorders>
              <w:top w:val="single" w:sz="4" w:space="0" w:color="auto"/>
              <w:left w:val="nil"/>
              <w:bottom w:val="single" w:sz="4" w:space="0" w:color="auto"/>
              <w:right w:val="single" w:sz="4" w:space="0" w:color="auto"/>
            </w:tcBorders>
            <w:shd w:val="clear" w:color="auto" w:fill="auto"/>
            <w:noWrap/>
            <w:vAlign w:val="bottom"/>
          </w:tcPr>
          <w:p w:rsidR="004165D8" w:rsidRPr="004165D8" w:rsidRDefault="004165D8" w:rsidP="004165D8">
            <w:pPr>
              <w:spacing w:after="0"/>
              <w:jc w:val="right"/>
              <w:rPr>
                <w:rFonts w:eastAsiaTheme="minorHAnsi" w:cs="Arial"/>
                <w:sz w:val="22"/>
                <w:szCs w:val="22"/>
              </w:rPr>
            </w:pPr>
            <w:r w:rsidRPr="004165D8">
              <w:rPr>
                <w:rFonts w:eastAsiaTheme="minorHAnsi" w:cs="Arial"/>
                <w:sz w:val="22"/>
                <w:szCs w:val="22"/>
              </w:rPr>
              <w:t>1</w:t>
            </w:r>
          </w:p>
        </w:tc>
        <w:tc>
          <w:tcPr>
            <w:tcW w:w="1488" w:type="dxa"/>
            <w:tcBorders>
              <w:top w:val="single" w:sz="4" w:space="0" w:color="auto"/>
              <w:left w:val="nil"/>
              <w:bottom w:val="single" w:sz="4" w:space="0" w:color="auto"/>
              <w:right w:val="single" w:sz="4" w:space="0" w:color="auto"/>
            </w:tcBorders>
            <w:shd w:val="clear" w:color="auto" w:fill="auto"/>
            <w:noWrap/>
            <w:vAlign w:val="bottom"/>
          </w:tcPr>
          <w:p w:rsidR="004165D8" w:rsidRPr="004165D8" w:rsidRDefault="004165D8" w:rsidP="004165D8">
            <w:pPr>
              <w:spacing w:after="0"/>
              <w:jc w:val="right"/>
              <w:rPr>
                <w:rFonts w:eastAsiaTheme="minorHAnsi" w:cs="Arial"/>
                <w:sz w:val="22"/>
                <w:szCs w:val="22"/>
              </w:rPr>
            </w:pPr>
            <w:r w:rsidRPr="004165D8">
              <w:rPr>
                <w:rFonts w:eastAsiaTheme="minorHAnsi" w:cs="Arial"/>
                <w:sz w:val="22"/>
                <w:szCs w:val="22"/>
              </w:rPr>
              <w:t>20</w:t>
            </w:r>
          </w:p>
        </w:tc>
        <w:tc>
          <w:tcPr>
            <w:tcW w:w="1488" w:type="dxa"/>
            <w:gridSpan w:val="2"/>
            <w:tcBorders>
              <w:top w:val="single" w:sz="4" w:space="0" w:color="auto"/>
              <w:left w:val="nil"/>
              <w:bottom w:val="single" w:sz="4" w:space="0" w:color="auto"/>
              <w:right w:val="single" w:sz="4" w:space="0" w:color="auto"/>
            </w:tcBorders>
            <w:shd w:val="clear" w:color="auto" w:fill="auto"/>
            <w:noWrap/>
            <w:vAlign w:val="bottom"/>
          </w:tcPr>
          <w:p w:rsidR="004165D8" w:rsidRPr="004165D8" w:rsidRDefault="004165D8" w:rsidP="004165D8">
            <w:pPr>
              <w:spacing w:after="0"/>
              <w:jc w:val="right"/>
              <w:rPr>
                <w:rFonts w:eastAsiaTheme="minorHAnsi" w:cs="Arial"/>
                <w:sz w:val="22"/>
                <w:szCs w:val="22"/>
              </w:rPr>
            </w:pPr>
            <w:r w:rsidRPr="004165D8">
              <w:rPr>
                <w:rFonts w:eastAsiaTheme="minorHAnsi" w:cs="Arial"/>
                <w:sz w:val="22"/>
                <w:szCs w:val="22"/>
              </w:rPr>
              <w:t>0</w:t>
            </w:r>
          </w:p>
        </w:tc>
        <w:tc>
          <w:tcPr>
            <w:tcW w:w="1489" w:type="dxa"/>
            <w:gridSpan w:val="2"/>
            <w:tcBorders>
              <w:top w:val="single" w:sz="4" w:space="0" w:color="auto"/>
              <w:left w:val="nil"/>
              <w:bottom w:val="single" w:sz="4" w:space="0" w:color="auto"/>
              <w:right w:val="single" w:sz="4" w:space="0" w:color="auto"/>
            </w:tcBorders>
            <w:shd w:val="clear" w:color="auto" w:fill="auto"/>
            <w:noWrap/>
            <w:vAlign w:val="bottom"/>
          </w:tcPr>
          <w:p w:rsidR="004165D8" w:rsidRPr="004165D8" w:rsidRDefault="004165D8" w:rsidP="004165D8">
            <w:pPr>
              <w:spacing w:after="0"/>
              <w:jc w:val="right"/>
              <w:rPr>
                <w:rFonts w:eastAsiaTheme="minorHAnsi" w:cs="Arial"/>
                <w:sz w:val="22"/>
                <w:szCs w:val="22"/>
              </w:rPr>
            </w:pPr>
            <w:r w:rsidRPr="004165D8">
              <w:rPr>
                <w:rFonts w:eastAsiaTheme="minorHAnsi" w:cs="Arial"/>
                <w:sz w:val="22"/>
                <w:szCs w:val="22"/>
              </w:rPr>
              <w:t>20.00</w:t>
            </w:r>
          </w:p>
        </w:tc>
      </w:tr>
      <w:tr w:rsidR="004165D8" w:rsidRPr="004165D8" w:rsidTr="004165D8">
        <w:trPr>
          <w:gridAfter w:val="1"/>
          <w:wAfter w:w="62" w:type="dxa"/>
          <w:trHeight w:val="300"/>
        </w:trPr>
        <w:tc>
          <w:tcPr>
            <w:tcW w:w="3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165D8" w:rsidRPr="004165D8" w:rsidRDefault="004165D8" w:rsidP="004165D8">
            <w:pPr>
              <w:spacing w:after="0"/>
              <w:rPr>
                <w:rFonts w:cs="Arial"/>
                <w:b/>
                <w:sz w:val="22"/>
                <w:szCs w:val="22"/>
              </w:rPr>
            </w:pPr>
            <w:r w:rsidRPr="004165D8">
              <w:rPr>
                <w:rFonts w:cs="Arial"/>
                <w:b/>
                <w:sz w:val="22"/>
                <w:szCs w:val="22"/>
              </w:rPr>
              <w:t>TOTAL</w:t>
            </w:r>
          </w:p>
        </w:tc>
        <w:tc>
          <w:tcPr>
            <w:tcW w:w="1488" w:type="dxa"/>
            <w:gridSpan w:val="2"/>
            <w:tcBorders>
              <w:top w:val="single" w:sz="4" w:space="0" w:color="auto"/>
              <w:left w:val="nil"/>
              <w:bottom w:val="single" w:sz="4" w:space="0" w:color="auto"/>
              <w:right w:val="single" w:sz="4" w:space="0" w:color="auto"/>
            </w:tcBorders>
            <w:shd w:val="clear" w:color="auto" w:fill="auto"/>
            <w:noWrap/>
            <w:vAlign w:val="bottom"/>
          </w:tcPr>
          <w:p w:rsidR="004165D8" w:rsidRPr="004165D8" w:rsidRDefault="004165D8" w:rsidP="004165D8">
            <w:pPr>
              <w:spacing w:after="0"/>
              <w:jc w:val="right"/>
              <w:rPr>
                <w:rFonts w:eastAsiaTheme="minorHAnsi" w:cs="Arial"/>
                <w:b/>
                <w:bCs/>
                <w:sz w:val="22"/>
                <w:szCs w:val="22"/>
              </w:rPr>
            </w:pPr>
            <w:r w:rsidRPr="004165D8">
              <w:rPr>
                <w:rFonts w:eastAsiaTheme="minorHAnsi" w:cs="Arial"/>
                <w:b/>
                <w:bCs/>
                <w:sz w:val="22"/>
                <w:szCs w:val="22"/>
              </w:rPr>
              <w:t>3</w:t>
            </w:r>
          </w:p>
        </w:tc>
        <w:tc>
          <w:tcPr>
            <w:tcW w:w="1488" w:type="dxa"/>
            <w:tcBorders>
              <w:top w:val="single" w:sz="4" w:space="0" w:color="auto"/>
              <w:left w:val="nil"/>
              <w:bottom w:val="single" w:sz="4" w:space="0" w:color="auto"/>
              <w:right w:val="single" w:sz="4" w:space="0" w:color="auto"/>
            </w:tcBorders>
            <w:shd w:val="clear" w:color="auto" w:fill="auto"/>
            <w:noWrap/>
            <w:vAlign w:val="bottom"/>
          </w:tcPr>
          <w:p w:rsidR="004165D8" w:rsidRPr="004165D8" w:rsidRDefault="004165D8" w:rsidP="004165D8">
            <w:pPr>
              <w:spacing w:after="0"/>
              <w:jc w:val="right"/>
              <w:rPr>
                <w:rFonts w:eastAsiaTheme="minorHAnsi" w:cs="Arial"/>
                <w:b/>
                <w:bCs/>
                <w:sz w:val="22"/>
                <w:szCs w:val="22"/>
              </w:rPr>
            </w:pPr>
            <w:r w:rsidRPr="004165D8">
              <w:rPr>
                <w:rFonts w:eastAsiaTheme="minorHAnsi" w:cs="Arial"/>
                <w:b/>
                <w:bCs/>
                <w:sz w:val="22"/>
                <w:szCs w:val="22"/>
              </w:rPr>
              <w:t>49</w:t>
            </w:r>
          </w:p>
        </w:tc>
        <w:tc>
          <w:tcPr>
            <w:tcW w:w="1488" w:type="dxa"/>
            <w:gridSpan w:val="2"/>
            <w:tcBorders>
              <w:top w:val="single" w:sz="4" w:space="0" w:color="auto"/>
              <w:left w:val="nil"/>
              <w:bottom w:val="single" w:sz="4" w:space="0" w:color="auto"/>
              <w:right w:val="single" w:sz="4" w:space="0" w:color="auto"/>
            </w:tcBorders>
            <w:shd w:val="clear" w:color="auto" w:fill="auto"/>
            <w:noWrap/>
            <w:vAlign w:val="bottom"/>
          </w:tcPr>
          <w:p w:rsidR="004165D8" w:rsidRPr="004165D8" w:rsidRDefault="004165D8" w:rsidP="004165D8">
            <w:pPr>
              <w:spacing w:after="0"/>
              <w:jc w:val="right"/>
              <w:rPr>
                <w:rFonts w:eastAsiaTheme="minorHAnsi" w:cs="Arial"/>
                <w:b/>
                <w:bCs/>
                <w:sz w:val="22"/>
                <w:szCs w:val="22"/>
              </w:rPr>
            </w:pPr>
            <w:r w:rsidRPr="004165D8">
              <w:rPr>
                <w:rFonts w:eastAsiaTheme="minorHAnsi" w:cs="Arial"/>
                <w:b/>
                <w:bCs/>
                <w:sz w:val="22"/>
                <w:szCs w:val="22"/>
              </w:rPr>
              <w:t>49</w:t>
            </w:r>
          </w:p>
        </w:tc>
        <w:tc>
          <w:tcPr>
            <w:tcW w:w="1489" w:type="dxa"/>
            <w:gridSpan w:val="2"/>
            <w:tcBorders>
              <w:top w:val="single" w:sz="4" w:space="0" w:color="auto"/>
              <w:left w:val="nil"/>
              <w:bottom w:val="single" w:sz="4" w:space="0" w:color="auto"/>
              <w:right w:val="single" w:sz="4" w:space="0" w:color="auto"/>
            </w:tcBorders>
            <w:shd w:val="clear" w:color="auto" w:fill="auto"/>
            <w:noWrap/>
            <w:vAlign w:val="bottom"/>
          </w:tcPr>
          <w:p w:rsidR="004165D8" w:rsidRPr="004165D8" w:rsidRDefault="004165D8" w:rsidP="004165D8">
            <w:pPr>
              <w:spacing w:after="0"/>
              <w:rPr>
                <w:rFonts w:eastAsiaTheme="minorHAnsi" w:cs="Arial"/>
                <w:b/>
                <w:bCs/>
                <w:sz w:val="22"/>
                <w:szCs w:val="22"/>
              </w:rPr>
            </w:pPr>
            <w:r w:rsidRPr="004165D8">
              <w:rPr>
                <w:rFonts w:eastAsiaTheme="minorHAnsi" w:cs="Arial"/>
                <w:b/>
                <w:bCs/>
                <w:sz w:val="22"/>
                <w:szCs w:val="22"/>
              </w:rPr>
              <w:t> </w:t>
            </w:r>
          </w:p>
        </w:tc>
      </w:tr>
    </w:tbl>
    <w:p w:rsidR="004165D8" w:rsidRPr="004165D8" w:rsidRDefault="004165D8" w:rsidP="004165D8">
      <w:pPr>
        <w:tabs>
          <w:tab w:val="left" w:pos="3030"/>
        </w:tabs>
        <w:spacing w:after="0"/>
        <w:rPr>
          <w:rFonts w:eastAsiaTheme="minorHAnsi" w:cs="Arial"/>
          <w:color w:val="auto"/>
          <w:sz w:val="22"/>
          <w:szCs w:val="22"/>
          <w:lang w:eastAsia="en-US"/>
        </w:rPr>
      </w:pPr>
    </w:p>
    <w:p w:rsidR="004165D8" w:rsidRPr="004165D8" w:rsidRDefault="004165D8" w:rsidP="004165D8">
      <w:pPr>
        <w:tabs>
          <w:tab w:val="left" w:pos="3030"/>
        </w:tabs>
        <w:spacing w:after="0"/>
        <w:rPr>
          <w:rFonts w:eastAsiaTheme="minorHAnsi" w:cs="Arial"/>
          <w:color w:val="auto"/>
          <w:sz w:val="22"/>
          <w:szCs w:val="22"/>
          <w:lang w:eastAsia="en-US"/>
        </w:rPr>
      </w:pPr>
      <w:r w:rsidRPr="004165D8">
        <w:rPr>
          <w:rFonts w:eastAsiaTheme="minorHAnsi" w:cs="Arial"/>
          <w:color w:val="auto"/>
          <w:sz w:val="22"/>
          <w:szCs w:val="22"/>
          <w:lang w:eastAsia="en-US"/>
        </w:rPr>
        <w:t xml:space="preserve">The numbers above suggest that housing DTOC cases have been almost eliminated across the Oxford Health NHS trust, save for a few complex, intractable cases that have resulted in lengthy delays. The 510 less days of DTOC in 2018/19 represents a 66% reduction on the previous year. </w:t>
      </w:r>
    </w:p>
    <w:p w:rsidR="004165D8" w:rsidRPr="004165D8" w:rsidRDefault="004165D8" w:rsidP="004165D8">
      <w:pPr>
        <w:tabs>
          <w:tab w:val="left" w:pos="3030"/>
        </w:tabs>
        <w:spacing w:after="0"/>
        <w:rPr>
          <w:rFonts w:eastAsiaTheme="minorHAnsi" w:cs="Arial"/>
          <w:color w:val="auto"/>
          <w:sz w:val="22"/>
          <w:szCs w:val="22"/>
          <w:lang w:eastAsia="en-US"/>
        </w:rPr>
      </w:pPr>
    </w:p>
    <w:p w:rsidR="004165D8" w:rsidRPr="004165D8" w:rsidRDefault="004165D8" w:rsidP="004165D8">
      <w:pPr>
        <w:tabs>
          <w:tab w:val="left" w:pos="3030"/>
        </w:tabs>
        <w:spacing w:after="0"/>
        <w:rPr>
          <w:rFonts w:eastAsiaTheme="minorHAnsi" w:cs="Arial"/>
          <w:color w:val="auto"/>
          <w:sz w:val="22"/>
          <w:szCs w:val="22"/>
          <w:lang w:eastAsia="en-US"/>
        </w:rPr>
      </w:pPr>
    </w:p>
    <w:p w:rsidR="00E76918" w:rsidRDefault="00E76918">
      <w:pPr>
        <w:spacing w:after="0"/>
        <w:rPr>
          <w:b/>
        </w:rPr>
      </w:pPr>
      <w:r>
        <w:rPr>
          <w:b/>
        </w:rPr>
        <w:br w:type="page"/>
      </w:r>
    </w:p>
    <w:p w:rsidR="00E76918" w:rsidRDefault="00E76918" w:rsidP="0093067A">
      <w:pPr>
        <w:rPr>
          <w:b/>
        </w:rPr>
      </w:pPr>
      <w:r>
        <w:rPr>
          <w:b/>
        </w:rPr>
        <w:lastRenderedPageBreak/>
        <w:t xml:space="preserve">Appendix Two </w:t>
      </w:r>
      <w:proofErr w:type="gramStart"/>
      <w:r>
        <w:rPr>
          <w:b/>
        </w:rPr>
        <w:t>-  Case</w:t>
      </w:r>
      <w:proofErr w:type="gramEnd"/>
      <w:r>
        <w:rPr>
          <w:b/>
        </w:rPr>
        <w:t xml:space="preserve"> Studies</w:t>
      </w:r>
    </w:p>
    <w:p w:rsidR="00E76918" w:rsidRDefault="00E76918" w:rsidP="0093067A">
      <w:pPr>
        <w:rPr>
          <w:b/>
        </w:rPr>
      </w:pPr>
    </w:p>
    <w:p w:rsidR="00E76918" w:rsidRPr="00E76918" w:rsidRDefault="00E76918" w:rsidP="00E76918">
      <w:pPr>
        <w:spacing w:after="0" w:line="276" w:lineRule="auto"/>
        <w:rPr>
          <w:rFonts w:eastAsiaTheme="minorHAnsi" w:cs="Arial"/>
          <w:b/>
          <w:color w:val="auto"/>
          <w:sz w:val="22"/>
          <w:szCs w:val="22"/>
          <w:lang w:eastAsia="en-US"/>
        </w:rPr>
      </w:pPr>
      <w:r w:rsidRPr="00E76918">
        <w:rPr>
          <w:rFonts w:eastAsiaTheme="minorHAnsi" w:cs="Arial"/>
          <w:b/>
          <w:color w:val="auto"/>
          <w:sz w:val="22"/>
          <w:szCs w:val="22"/>
          <w:lang w:eastAsia="en-US"/>
        </w:rPr>
        <w:t>Case Study – Bereaved single young male</w:t>
      </w:r>
    </w:p>
    <w:p w:rsidR="00E76918" w:rsidRPr="00E76918" w:rsidRDefault="00E76918" w:rsidP="00E76918">
      <w:pPr>
        <w:spacing w:after="0" w:line="276" w:lineRule="auto"/>
        <w:rPr>
          <w:rFonts w:eastAsiaTheme="minorHAnsi" w:cs="Arial"/>
          <w:color w:val="auto"/>
          <w:sz w:val="22"/>
          <w:szCs w:val="22"/>
          <w:lang w:eastAsia="en-US"/>
        </w:rPr>
      </w:pPr>
    </w:p>
    <w:p w:rsidR="00E76918" w:rsidRPr="00E76918" w:rsidRDefault="00E76918" w:rsidP="00E76918">
      <w:pPr>
        <w:spacing w:after="0" w:line="276" w:lineRule="auto"/>
        <w:rPr>
          <w:rFonts w:eastAsiaTheme="minorHAnsi" w:cs="Arial"/>
          <w:color w:val="auto"/>
          <w:sz w:val="22"/>
          <w:szCs w:val="22"/>
          <w:lang w:eastAsia="en-US"/>
        </w:rPr>
      </w:pPr>
      <w:r w:rsidRPr="00E76918">
        <w:rPr>
          <w:rFonts w:eastAsiaTheme="minorHAnsi" w:cs="Arial"/>
          <w:color w:val="auto"/>
          <w:sz w:val="22"/>
          <w:szCs w:val="22"/>
          <w:lang w:eastAsia="en-US"/>
        </w:rPr>
        <w:t xml:space="preserve">One of the Community Navigators worked closely with a young male to secure new housing following the death of his mother. By building a strong and trusting relationship the community navigator was able to support the individual to find a new home and improve his job prospects. </w:t>
      </w:r>
    </w:p>
    <w:p w:rsidR="00E76918" w:rsidRPr="00E76918" w:rsidRDefault="00E76918" w:rsidP="00E76918">
      <w:pPr>
        <w:spacing w:after="0" w:line="276" w:lineRule="auto"/>
        <w:rPr>
          <w:rFonts w:eastAsiaTheme="minorHAnsi" w:cs="Arial"/>
          <w:color w:val="auto"/>
          <w:sz w:val="22"/>
          <w:szCs w:val="22"/>
          <w:lang w:eastAsia="en-US"/>
        </w:rPr>
      </w:pPr>
    </w:p>
    <w:p w:rsidR="00E76918" w:rsidRPr="00E76918" w:rsidRDefault="00E76918" w:rsidP="00E76918">
      <w:pPr>
        <w:spacing w:after="0" w:line="276" w:lineRule="auto"/>
        <w:rPr>
          <w:rFonts w:eastAsiaTheme="minorHAnsi" w:cs="Arial"/>
          <w:color w:val="auto"/>
          <w:sz w:val="22"/>
          <w:szCs w:val="22"/>
          <w:lang w:eastAsia="en-US"/>
        </w:rPr>
      </w:pPr>
      <w:r w:rsidRPr="00E76918">
        <w:rPr>
          <w:rFonts w:eastAsiaTheme="minorHAnsi" w:cs="Arial"/>
          <w:color w:val="auto"/>
          <w:sz w:val="22"/>
          <w:szCs w:val="22"/>
          <w:lang w:eastAsia="en-US"/>
        </w:rPr>
        <w:t xml:space="preserve">The young man had lived all his life in a three-bed social housing property in South Oxfordshire with his mother. One morning he woke to find that his mother had died unexpectedly, causing much grief and stress. During this period of grieving the housing association served the individual a notice to quit as he was unable to succeed the tenancy. Prior to any Trailblazer involvement the individual was invited to </w:t>
      </w:r>
      <w:r>
        <w:rPr>
          <w:rFonts w:eastAsiaTheme="minorHAnsi" w:cs="Arial"/>
          <w:color w:val="auto"/>
          <w:sz w:val="22"/>
          <w:szCs w:val="22"/>
          <w:lang w:eastAsia="en-US"/>
        </w:rPr>
        <w:t xml:space="preserve">a </w:t>
      </w:r>
      <w:r w:rsidRPr="00E76918">
        <w:rPr>
          <w:rFonts w:eastAsiaTheme="minorHAnsi" w:cs="Arial"/>
          <w:color w:val="auto"/>
          <w:sz w:val="22"/>
          <w:szCs w:val="22"/>
          <w:lang w:eastAsia="en-US"/>
        </w:rPr>
        <w:t>meeting at the housing association to discuss his options but felt that the tone was less than courteous and left feeling unsupported and completely devoid of options.</w:t>
      </w:r>
    </w:p>
    <w:p w:rsidR="00E76918" w:rsidRPr="00E76918" w:rsidRDefault="00E76918" w:rsidP="00E76918">
      <w:pPr>
        <w:spacing w:after="0" w:line="276" w:lineRule="auto"/>
        <w:rPr>
          <w:rFonts w:eastAsiaTheme="minorHAnsi" w:cs="Arial"/>
          <w:color w:val="auto"/>
          <w:sz w:val="22"/>
          <w:szCs w:val="22"/>
          <w:lang w:eastAsia="en-US"/>
        </w:rPr>
      </w:pPr>
    </w:p>
    <w:p w:rsidR="00E76918" w:rsidRPr="00E76918" w:rsidRDefault="00E76918" w:rsidP="00E76918">
      <w:pPr>
        <w:spacing w:after="0" w:line="276" w:lineRule="auto"/>
        <w:rPr>
          <w:rFonts w:eastAsiaTheme="minorHAnsi" w:cs="Arial"/>
          <w:color w:val="auto"/>
          <w:sz w:val="22"/>
          <w:szCs w:val="22"/>
          <w:lang w:eastAsia="en-US"/>
        </w:rPr>
      </w:pPr>
      <w:r w:rsidRPr="00E76918">
        <w:rPr>
          <w:rFonts w:eastAsiaTheme="minorHAnsi" w:cs="Arial"/>
          <w:color w:val="auto"/>
          <w:sz w:val="22"/>
          <w:szCs w:val="22"/>
          <w:lang w:eastAsia="en-US"/>
        </w:rPr>
        <w:t>Following a self-referral to Aspire the Community Navigator worked closely with the individual to assess all the options. In the first instance the navigator advised the individual not to vacate the property and arranged a multi-agency meeting to plan the way forward</w:t>
      </w:r>
      <w:r>
        <w:rPr>
          <w:rFonts w:eastAsiaTheme="minorHAnsi" w:cs="Arial"/>
          <w:color w:val="auto"/>
          <w:sz w:val="22"/>
          <w:szCs w:val="22"/>
          <w:lang w:eastAsia="en-US"/>
        </w:rPr>
        <w:t>. T</w:t>
      </w:r>
      <w:r w:rsidRPr="00E76918">
        <w:rPr>
          <w:rFonts w:eastAsiaTheme="minorHAnsi" w:cs="Arial"/>
          <w:color w:val="auto"/>
          <w:sz w:val="22"/>
          <w:szCs w:val="22"/>
          <w:lang w:eastAsia="en-US"/>
        </w:rPr>
        <w:t xml:space="preserve">he local authority </w:t>
      </w:r>
      <w:r>
        <w:rPr>
          <w:rFonts w:eastAsiaTheme="minorHAnsi" w:cs="Arial"/>
          <w:color w:val="auto"/>
          <w:sz w:val="22"/>
          <w:szCs w:val="22"/>
          <w:lang w:eastAsia="en-US"/>
        </w:rPr>
        <w:t xml:space="preserve">then </w:t>
      </w:r>
      <w:r w:rsidRPr="00E76918">
        <w:rPr>
          <w:rFonts w:eastAsiaTheme="minorHAnsi" w:cs="Arial"/>
          <w:color w:val="auto"/>
          <w:sz w:val="22"/>
          <w:szCs w:val="22"/>
          <w:lang w:eastAsia="en-US"/>
        </w:rPr>
        <w:t xml:space="preserve">agreed to give the individual priority banding and told </w:t>
      </w:r>
      <w:r>
        <w:rPr>
          <w:rFonts w:eastAsiaTheme="minorHAnsi" w:cs="Arial"/>
          <w:color w:val="auto"/>
          <w:sz w:val="22"/>
          <w:szCs w:val="22"/>
          <w:lang w:eastAsia="en-US"/>
        </w:rPr>
        <w:t xml:space="preserve">him </w:t>
      </w:r>
      <w:r w:rsidRPr="00E76918">
        <w:rPr>
          <w:rFonts w:eastAsiaTheme="minorHAnsi" w:cs="Arial"/>
          <w:color w:val="auto"/>
          <w:sz w:val="22"/>
          <w:szCs w:val="22"/>
          <w:lang w:eastAsia="en-US"/>
        </w:rPr>
        <w:t>to bid on one-bed properties.</w:t>
      </w:r>
    </w:p>
    <w:p w:rsidR="00E76918" w:rsidRPr="00E76918" w:rsidRDefault="00E76918" w:rsidP="00E76918">
      <w:pPr>
        <w:spacing w:after="0" w:line="276" w:lineRule="auto"/>
        <w:rPr>
          <w:rFonts w:eastAsiaTheme="minorHAnsi" w:cs="Arial"/>
          <w:color w:val="auto"/>
          <w:sz w:val="22"/>
          <w:szCs w:val="22"/>
          <w:lang w:eastAsia="en-US"/>
        </w:rPr>
      </w:pPr>
    </w:p>
    <w:p w:rsidR="00E76918" w:rsidRPr="00E76918" w:rsidRDefault="00E76918" w:rsidP="00E76918">
      <w:pPr>
        <w:spacing w:after="0" w:line="276" w:lineRule="auto"/>
        <w:rPr>
          <w:rFonts w:eastAsiaTheme="minorHAnsi" w:cs="Arial"/>
          <w:color w:val="auto"/>
          <w:sz w:val="22"/>
          <w:szCs w:val="22"/>
          <w:lang w:eastAsia="en-US"/>
        </w:rPr>
      </w:pPr>
      <w:r w:rsidRPr="00E76918">
        <w:rPr>
          <w:rFonts w:eastAsiaTheme="minorHAnsi" w:cs="Arial"/>
          <w:color w:val="auto"/>
          <w:sz w:val="22"/>
          <w:szCs w:val="22"/>
          <w:lang w:eastAsia="en-US"/>
        </w:rPr>
        <w:t>The individual was offered a suitable one-bed in Didcot relatively quickly but needed the support of the navigator to view the property and determine how they could afford the deposit. Through negotiation the housing association agreed that the individual could save up for the month’s rent in advance while the current tenant vacated and remedial works were undertaken.</w:t>
      </w:r>
    </w:p>
    <w:p w:rsidR="00E76918" w:rsidRPr="00E76918" w:rsidRDefault="00E76918" w:rsidP="00E76918">
      <w:pPr>
        <w:spacing w:after="0" w:line="276" w:lineRule="auto"/>
        <w:rPr>
          <w:rFonts w:eastAsiaTheme="minorHAnsi" w:cs="Arial"/>
          <w:color w:val="auto"/>
          <w:sz w:val="22"/>
          <w:szCs w:val="22"/>
          <w:lang w:eastAsia="en-US"/>
        </w:rPr>
      </w:pPr>
    </w:p>
    <w:p w:rsidR="00E76918" w:rsidRPr="00E76918" w:rsidRDefault="00E76918" w:rsidP="00E76918">
      <w:pPr>
        <w:spacing w:after="0" w:line="276" w:lineRule="auto"/>
        <w:rPr>
          <w:rFonts w:eastAsiaTheme="minorHAnsi" w:cs="Arial"/>
          <w:color w:val="auto"/>
          <w:sz w:val="22"/>
          <w:szCs w:val="22"/>
          <w:lang w:eastAsia="en-US"/>
        </w:rPr>
      </w:pPr>
      <w:r w:rsidRPr="00E76918">
        <w:rPr>
          <w:rFonts w:eastAsiaTheme="minorHAnsi" w:cs="Arial"/>
          <w:color w:val="auto"/>
          <w:sz w:val="22"/>
          <w:szCs w:val="22"/>
          <w:lang w:eastAsia="en-US"/>
        </w:rPr>
        <w:t>In addition to all of the above the individual realised that he probably needed to improve his job prospects in order to ensure that the tenancy could be sustained long-term. With the encouragement of the navigator he enrolled on a number of training courses including a fork-lift driving assessment.</w:t>
      </w:r>
    </w:p>
    <w:p w:rsidR="00E76918" w:rsidRPr="00E76918" w:rsidRDefault="00E76918" w:rsidP="00E76918">
      <w:pPr>
        <w:spacing w:after="0" w:line="276" w:lineRule="auto"/>
        <w:rPr>
          <w:rFonts w:eastAsiaTheme="minorHAnsi" w:cs="Arial"/>
          <w:color w:val="auto"/>
          <w:sz w:val="22"/>
          <w:szCs w:val="22"/>
          <w:lang w:eastAsia="en-US"/>
        </w:rPr>
      </w:pPr>
    </w:p>
    <w:p w:rsidR="00E76918" w:rsidRPr="00E76918" w:rsidRDefault="00E76918" w:rsidP="00E76918">
      <w:pPr>
        <w:spacing w:after="0" w:line="276" w:lineRule="auto"/>
        <w:rPr>
          <w:rFonts w:eastAsiaTheme="minorHAnsi" w:cs="Arial"/>
          <w:b/>
          <w:color w:val="auto"/>
          <w:sz w:val="22"/>
          <w:szCs w:val="22"/>
          <w:lang w:eastAsia="en-US"/>
        </w:rPr>
      </w:pPr>
      <w:r w:rsidRPr="00E76918">
        <w:rPr>
          <w:rFonts w:eastAsiaTheme="minorHAnsi" w:cs="Arial"/>
          <w:b/>
          <w:color w:val="auto"/>
          <w:sz w:val="22"/>
          <w:szCs w:val="22"/>
          <w:lang w:eastAsia="en-US"/>
        </w:rPr>
        <w:t>Case Study – Single mother suffering from poor mental health</w:t>
      </w:r>
    </w:p>
    <w:p w:rsidR="00E76918" w:rsidRPr="00E76918" w:rsidRDefault="00E76918" w:rsidP="00E76918">
      <w:pPr>
        <w:spacing w:after="0" w:line="276" w:lineRule="auto"/>
        <w:rPr>
          <w:rFonts w:eastAsiaTheme="minorHAnsi" w:cs="Arial"/>
          <w:b/>
          <w:color w:val="auto"/>
          <w:sz w:val="22"/>
          <w:szCs w:val="22"/>
          <w:lang w:eastAsia="en-US"/>
        </w:rPr>
      </w:pPr>
    </w:p>
    <w:p w:rsidR="00E76918" w:rsidRPr="00E76918" w:rsidRDefault="00E76918" w:rsidP="00E76918">
      <w:pPr>
        <w:spacing w:after="0" w:line="276" w:lineRule="auto"/>
        <w:rPr>
          <w:rFonts w:eastAsiaTheme="minorHAnsi" w:cs="Arial"/>
          <w:color w:val="auto"/>
          <w:sz w:val="22"/>
          <w:szCs w:val="22"/>
          <w:lang w:eastAsia="en-US"/>
        </w:rPr>
      </w:pPr>
      <w:r w:rsidRPr="00E76918">
        <w:rPr>
          <w:rFonts w:eastAsiaTheme="minorHAnsi" w:cs="Arial"/>
          <w:color w:val="auto"/>
          <w:sz w:val="22"/>
          <w:szCs w:val="22"/>
          <w:lang w:eastAsia="en-US"/>
        </w:rPr>
        <w:t>This positive case study focuses on the increased resilience and confidence of a single mot</w:t>
      </w:r>
      <w:r>
        <w:rPr>
          <w:rFonts w:eastAsiaTheme="minorHAnsi" w:cs="Arial"/>
          <w:color w:val="auto"/>
          <w:sz w:val="22"/>
          <w:szCs w:val="22"/>
          <w:lang w:eastAsia="en-US"/>
        </w:rPr>
        <w:t>her after being supported by a C</w:t>
      </w:r>
      <w:r w:rsidRPr="00E76918">
        <w:rPr>
          <w:rFonts w:eastAsiaTheme="minorHAnsi" w:cs="Arial"/>
          <w:color w:val="auto"/>
          <w:sz w:val="22"/>
          <w:szCs w:val="22"/>
          <w:lang w:eastAsia="en-US"/>
        </w:rPr>
        <w:t>ommunity Navigator in Oxford. The mother and her daughter were able to stay in their existing home despite struggles with depression and anxiety.</w:t>
      </w:r>
    </w:p>
    <w:p w:rsidR="00E76918" w:rsidRPr="00E76918" w:rsidRDefault="00E76918" w:rsidP="00E76918">
      <w:pPr>
        <w:spacing w:after="0" w:line="276" w:lineRule="auto"/>
        <w:rPr>
          <w:rFonts w:eastAsiaTheme="minorHAnsi" w:cs="Arial"/>
          <w:color w:val="auto"/>
          <w:sz w:val="22"/>
          <w:szCs w:val="22"/>
          <w:lang w:eastAsia="en-US"/>
        </w:rPr>
      </w:pPr>
    </w:p>
    <w:p w:rsidR="00E76918" w:rsidRPr="00E76918" w:rsidRDefault="00E76918" w:rsidP="00E76918">
      <w:pPr>
        <w:spacing w:after="0" w:line="276" w:lineRule="auto"/>
        <w:rPr>
          <w:rFonts w:eastAsiaTheme="minorHAnsi" w:cs="Arial"/>
          <w:color w:val="auto"/>
          <w:sz w:val="22"/>
          <w:szCs w:val="22"/>
          <w:lang w:eastAsia="en-US"/>
        </w:rPr>
      </w:pPr>
      <w:r w:rsidRPr="00E76918">
        <w:rPr>
          <w:rFonts w:eastAsiaTheme="minorHAnsi" w:cs="Arial"/>
          <w:color w:val="auto"/>
          <w:sz w:val="22"/>
          <w:szCs w:val="22"/>
          <w:lang w:eastAsia="en-US"/>
        </w:rPr>
        <w:t xml:space="preserve">At the point of referral the individual had a social tenancy with rent arrears of approximately £2,500. She was in receipt of a valid eviction notice and a possession order with a looming court hearing. The rent arrears had accrued following a period of poor mental health and the threat of losing her home had only exacerbated the problem. The mother was currently working 20 hours on minimum wage whilst caring for her young daughter, but had recently completed a degree at Oxford Brookes University. She did not know how to manage this situation and sustain her tenancy. </w:t>
      </w:r>
    </w:p>
    <w:p w:rsidR="00E76918" w:rsidRPr="00E76918" w:rsidRDefault="00E76918" w:rsidP="00E76918">
      <w:pPr>
        <w:spacing w:after="0" w:line="276" w:lineRule="auto"/>
        <w:rPr>
          <w:rFonts w:eastAsiaTheme="minorHAnsi" w:cs="Arial"/>
          <w:color w:val="auto"/>
          <w:sz w:val="22"/>
          <w:szCs w:val="22"/>
          <w:lang w:eastAsia="en-US"/>
        </w:rPr>
      </w:pPr>
    </w:p>
    <w:p w:rsidR="00E76918" w:rsidRPr="00E76918" w:rsidRDefault="00E76918" w:rsidP="00E76918">
      <w:pPr>
        <w:spacing w:after="0" w:line="276" w:lineRule="auto"/>
        <w:rPr>
          <w:rFonts w:eastAsiaTheme="minorHAnsi" w:cs="Arial"/>
          <w:color w:val="auto"/>
          <w:sz w:val="22"/>
          <w:szCs w:val="22"/>
          <w:lang w:eastAsia="en-US"/>
        </w:rPr>
      </w:pPr>
      <w:r w:rsidRPr="00E76918">
        <w:rPr>
          <w:rFonts w:eastAsiaTheme="minorHAnsi" w:cs="Arial"/>
          <w:color w:val="auto"/>
          <w:sz w:val="22"/>
          <w:szCs w:val="22"/>
          <w:lang w:eastAsia="en-US"/>
        </w:rPr>
        <w:t xml:space="preserve">Working collaboratively with the community navigator they drew up a plan that would build on her assets and attempt to resolve the threat of eviction. Perhaps most importantly the mother </w:t>
      </w:r>
      <w:r w:rsidRPr="00E76918">
        <w:rPr>
          <w:rFonts w:eastAsiaTheme="minorHAnsi" w:cs="Arial"/>
          <w:color w:val="auto"/>
          <w:sz w:val="22"/>
          <w:szCs w:val="22"/>
          <w:lang w:eastAsia="en-US"/>
        </w:rPr>
        <w:lastRenderedPageBreak/>
        <w:t>was supported to take ownership of her finances to have a much better understanding of income and expenditure. The community navigator put the individual in touch with Turpin &amp; Miller to ensure that she had representation in court and also completed a DHP application with Oxford City Council. The plan also encouraged the individual to seek full-time job opportunities using her degree and based on the fact that her daughter had moved in to full-time education.</w:t>
      </w:r>
    </w:p>
    <w:p w:rsidR="00E76918" w:rsidRPr="00E76918" w:rsidRDefault="00E76918" w:rsidP="00E76918">
      <w:pPr>
        <w:spacing w:after="0" w:line="276" w:lineRule="auto"/>
        <w:rPr>
          <w:rFonts w:eastAsiaTheme="minorHAnsi" w:cs="Arial"/>
          <w:color w:val="auto"/>
          <w:sz w:val="22"/>
          <w:szCs w:val="22"/>
          <w:lang w:eastAsia="en-US"/>
        </w:rPr>
      </w:pPr>
    </w:p>
    <w:p w:rsidR="00E76918" w:rsidRDefault="00E76918" w:rsidP="00E76918">
      <w:pPr>
        <w:spacing w:after="0" w:line="276" w:lineRule="auto"/>
        <w:rPr>
          <w:rFonts w:eastAsiaTheme="minorHAnsi" w:cs="Arial"/>
          <w:color w:val="auto"/>
          <w:sz w:val="22"/>
          <w:szCs w:val="22"/>
          <w:lang w:eastAsia="en-US"/>
        </w:rPr>
      </w:pPr>
      <w:r w:rsidRPr="00E76918">
        <w:rPr>
          <w:rFonts w:eastAsiaTheme="minorHAnsi" w:cs="Arial"/>
          <w:color w:val="auto"/>
          <w:sz w:val="22"/>
          <w:szCs w:val="22"/>
          <w:lang w:eastAsia="en-US"/>
        </w:rPr>
        <w:t>The individual was successful in applying for a role at the University of Oxford and based on her estimated earnings she was able to negotiate a repayment plan with the housing association. This in turn meant that the court order for possession was suspended. The mother and daughter were able to stay in their home and subsequently she has continued to pay her rent and keep up with the repayments. Her feedback at the end of the process was that she has grown more confident as a result of her interaction with the community navigator, and that being able to work full-time and take control of her finances has had a positive impact on her general well-being.</w:t>
      </w:r>
    </w:p>
    <w:p w:rsidR="004165D8" w:rsidRDefault="004165D8" w:rsidP="00E76918">
      <w:pPr>
        <w:spacing w:after="0" w:line="276" w:lineRule="auto"/>
        <w:rPr>
          <w:rFonts w:eastAsiaTheme="minorHAnsi" w:cs="Arial"/>
          <w:color w:val="auto"/>
          <w:sz w:val="22"/>
          <w:szCs w:val="22"/>
          <w:lang w:eastAsia="en-US"/>
        </w:rPr>
      </w:pPr>
    </w:p>
    <w:p w:rsidR="004165D8" w:rsidRPr="004165D8" w:rsidRDefault="004165D8" w:rsidP="004165D8">
      <w:pPr>
        <w:spacing w:after="0"/>
        <w:rPr>
          <w:rFonts w:eastAsiaTheme="minorHAnsi" w:cs="Arial"/>
          <w:b/>
          <w:color w:val="auto"/>
          <w:sz w:val="22"/>
          <w:szCs w:val="22"/>
          <w:lang w:eastAsia="en-US"/>
        </w:rPr>
      </w:pPr>
      <w:r w:rsidRPr="004165D8">
        <w:rPr>
          <w:rFonts w:eastAsiaTheme="minorHAnsi" w:cs="Arial"/>
          <w:b/>
          <w:color w:val="auto"/>
          <w:sz w:val="22"/>
          <w:szCs w:val="22"/>
          <w:lang w:eastAsia="en-US"/>
        </w:rPr>
        <w:t>Children’s Social Services Case Study</w:t>
      </w:r>
    </w:p>
    <w:p w:rsidR="004165D8" w:rsidRPr="004165D8" w:rsidRDefault="004165D8" w:rsidP="004165D8">
      <w:pPr>
        <w:spacing w:after="0"/>
        <w:rPr>
          <w:rFonts w:eastAsiaTheme="minorHAnsi" w:cs="Arial"/>
          <w:color w:val="auto"/>
          <w:lang w:eastAsia="en-US"/>
        </w:rPr>
      </w:pPr>
    </w:p>
    <w:p w:rsidR="004165D8" w:rsidRPr="004165D8" w:rsidRDefault="004165D8" w:rsidP="004165D8">
      <w:pPr>
        <w:spacing w:after="0"/>
        <w:rPr>
          <w:rFonts w:eastAsiaTheme="minorHAnsi" w:cs="Arial"/>
          <w:color w:val="auto"/>
          <w:sz w:val="22"/>
          <w:szCs w:val="22"/>
          <w:lang w:eastAsia="en-US"/>
        </w:rPr>
      </w:pPr>
      <w:r w:rsidRPr="004165D8">
        <w:rPr>
          <w:rFonts w:eastAsiaTheme="minorHAnsi" w:cs="Arial"/>
          <w:color w:val="auto"/>
          <w:sz w:val="22"/>
          <w:szCs w:val="22"/>
          <w:lang w:eastAsia="en-US"/>
        </w:rPr>
        <w:t>This case study involves a grandmother caring for three of her grandchildren after they were removed from the care of their parents due to neglect. The grandmother had permanent custody of the eldest child, but the other two children were placed on a temporary arrangement, awaiting the court to award permanent custody. They were living in a one bedroom social tenancy flat.</w:t>
      </w:r>
    </w:p>
    <w:p w:rsidR="004165D8" w:rsidRPr="004165D8" w:rsidRDefault="004165D8" w:rsidP="004165D8">
      <w:pPr>
        <w:spacing w:after="0"/>
        <w:rPr>
          <w:rFonts w:eastAsiaTheme="minorHAnsi" w:cs="Arial"/>
          <w:color w:val="auto"/>
          <w:sz w:val="22"/>
          <w:szCs w:val="22"/>
          <w:lang w:eastAsia="en-US"/>
        </w:rPr>
      </w:pPr>
    </w:p>
    <w:p w:rsidR="004165D8" w:rsidRPr="004165D8" w:rsidRDefault="004165D8" w:rsidP="004165D8">
      <w:pPr>
        <w:spacing w:after="0"/>
        <w:rPr>
          <w:rFonts w:eastAsiaTheme="minorHAnsi" w:cs="Arial"/>
          <w:color w:val="auto"/>
          <w:sz w:val="22"/>
          <w:szCs w:val="22"/>
          <w:lang w:eastAsia="en-US"/>
        </w:rPr>
      </w:pPr>
      <w:r w:rsidRPr="004165D8">
        <w:rPr>
          <w:rFonts w:eastAsiaTheme="minorHAnsi" w:cs="Arial"/>
          <w:color w:val="auto"/>
          <w:sz w:val="22"/>
          <w:szCs w:val="22"/>
          <w:lang w:eastAsia="en-US"/>
        </w:rPr>
        <w:t>The placement was at risk of breaking down due to inadequate accommodation and overcrowding; potentially leading to the children being taken into the care of social services. This was a difficult situation as the court would not award permanent custody of the remaining two children until they were adequately accommodated; and housing not recognise the overcrowding as the two children were not in the permanent custody of the grandmother.</w:t>
      </w:r>
    </w:p>
    <w:p w:rsidR="004165D8" w:rsidRPr="004165D8" w:rsidRDefault="004165D8" w:rsidP="004165D8">
      <w:pPr>
        <w:spacing w:after="0"/>
        <w:rPr>
          <w:rFonts w:eastAsiaTheme="minorHAnsi" w:cs="Arial"/>
          <w:color w:val="auto"/>
          <w:sz w:val="22"/>
          <w:szCs w:val="22"/>
          <w:lang w:eastAsia="en-US"/>
        </w:rPr>
      </w:pPr>
    </w:p>
    <w:p w:rsidR="004165D8" w:rsidRPr="004165D8" w:rsidRDefault="004165D8" w:rsidP="004165D8">
      <w:pPr>
        <w:spacing w:after="0"/>
        <w:rPr>
          <w:rFonts w:eastAsiaTheme="minorHAnsi" w:cs="Arial"/>
          <w:color w:val="auto"/>
          <w:sz w:val="22"/>
          <w:szCs w:val="22"/>
          <w:lang w:eastAsia="en-US"/>
        </w:rPr>
      </w:pPr>
      <w:r w:rsidRPr="004165D8">
        <w:rPr>
          <w:rFonts w:eastAsiaTheme="minorHAnsi" w:cs="Arial"/>
          <w:color w:val="auto"/>
          <w:sz w:val="22"/>
          <w:szCs w:val="22"/>
          <w:lang w:eastAsia="en-US"/>
        </w:rPr>
        <w:t>The embedded worker supported an application to the exceptional circumstances panel at the Local Housing Authority so that they could be moved up the social housing waiting list. The panel awarded a two bed need and the family were allocated a home quickly as a temporary arrangement. They were subsequently awarded a three bed need but are waiting for appropriate housing to become available.</w:t>
      </w:r>
    </w:p>
    <w:p w:rsidR="004165D8" w:rsidRPr="004165D8" w:rsidRDefault="004165D8" w:rsidP="004165D8">
      <w:pPr>
        <w:spacing w:after="0"/>
        <w:rPr>
          <w:rFonts w:eastAsiaTheme="minorHAnsi" w:cs="Arial"/>
          <w:color w:val="auto"/>
          <w:sz w:val="22"/>
          <w:szCs w:val="22"/>
          <w:lang w:eastAsia="en-US"/>
        </w:rPr>
      </w:pPr>
    </w:p>
    <w:p w:rsidR="004165D8" w:rsidRPr="004165D8" w:rsidRDefault="004165D8" w:rsidP="004165D8">
      <w:pPr>
        <w:spacing w:after="0"/>
        <w:rPr>
          <w:rFonts w:eastAsiaTheme="minorHAnsi" w:cs="Arial"/>
          <w:color w:val="auto"/>
          <w:sz w:val="22"/>
          <w:szCs w:val="22"/>
          <w:lang w:eastAsia="en-US"/>
        </w:rPr>
      </w:pPr>
      <w:r w:rsidRPr="004165D8">
        <w:rPr>
          <w:rFonts w:eastAsiaTheme="minorHAnsi" w:cs="Arial"/>
          <w:color w:val="auto"/>
          <w:sz w:val="22"/>
          <w:szCs w:val="22"/>
          <w:lang w:eastAsia="en-US"/>
        </w:rPr>
        <w:t xml:space="preserve">The placement has therefore been made permanent and the three siblings have been kept together without the need for placing any of the children in care. Using the New Economy Manchester model Unit Cost Database it is estimated the total saving to the public purse exceeded £50,000 (mostly to the benefit of children’s social services) when considering that two of the children may have needed to be placed in care. Based on our estimates of net spend and net saving, the cost benefit ratio of this case suggests that for every £1 spent, somewhere in the region of £13 - £14 was saved. An added benefit is that this case improved the partnership working between the LHA and children’s social services based on the positive and swift outcome. </w:t>
      </w:r>
    </w:p>
    <w:p w:rsidR="004165D8" w:rsidRPr="00E76918" w:rsidRDefault="004165D8" w:rsidP="00E76918">
      <w:pPr>
        <w:spacing w:after="0" w:line="276" w:lineRule="auto"/>
        <w:rPr>
          <w:rFonts w:eastAsiaTheme="minorHAnsi" w:cs="Arial"/>
          <w:color w:val="auto"/>
          <w:sz w:val="22"/>
          <w:szCs w:val="22"/>
          <w:lang w:eastAsia="en-US"/>
        </w:rPr>
      </w:pPr>
    </w:p>
    <w:p w:rsidR="00E76918" w:rsidRPr="00E76918" w:rsidRDefault="00E76918" w:rsidP="0093067A">
      <w:pPr>
        <w:rPr>
          <w:b/>
          <w:color w:val="auto"/>
        </w:rPr>
      </w:pPr>
    </w:p>
    <w:sectPr w:rsidR="00E76918" w:rsidRPr="00E76918" w:rsidSect="00BC200B">
      <w:footerReference w:type="even" r:id="rId10"/>
      <w:headerReference w:type="first" r:id="rId11"/>
      <w:footerReference w:type="first" r:id="rId12"/>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43A" w:rsidRDefault="00ED443A" w:rsidP="004A6D2F">
      <w:r>
        <w:separator/>
      </w:r>
    </w:p>
  </w:endnote>
  <w:endnote w:type="continuationSeparator" w:id="0">
    <w:p w:rsidR="00ED443A" w:rsidRDefault="00ED443A"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5D8" w:rsidRDefault="004165D8" w:rsidP="004A6D2F">
    <w:pPr>
      <w:pStyle w:val="Footer"/>
    </w:pPr>
    <w:r>
      <w:t>Do not use a footer or page numbers.</w:t>
    </w:r>
  </w:p>
  <w:p w:rsidR="004165D8" w:rsidRDefault="004165D8" w:rsidP="004A6D2F">
    <w:pPr>
      <w:pStyle w:val="Footer"/>
    </w:pPr>
  </w:p>
  <w:p w:rsidR="004165D8" w:rsidRDefault="004165D8"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5D8" w:rsidRDefault="004165D8"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43A" w:rsidRDefault="00ED443A" w:rsidP="004A6D2F">
      <w:r>
        <w:separator/>
      </w:r>
    </w:p>
  </w:footnote>
  <w:footnote w:type="continuationSeparator" w:id="0">
    <w:p w:rsidR="00ED443A" w:rsidRDefault="00ED443A"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5D8" w:rsidRDefault="004165D8" w:rsidP="00D5547E">
    <w:pPr>
      <w:pStyle w:val="Header"/>
      <w:jc w:val="right"/>
    </w:pPr>
    <w:r>
      <w:rPr>
        <w:noProof/>
      </w:rPr>
      <w:drawing>
        <wp:inline distT="0" distB="0" distL="0" distR="0" wp14:anchorId="74A3D163" wp14:editId="4BA4BBD3">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1C278E9"/>
    <w:multiLevelType w:val="hybridMultilevel"/>
    <w:tmpl w:val="8D9ACD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FD03484"/>
    <w:multiLevelType w:val="hybridMultilevel"/>
    <w:tmpl w:val="D4EAD4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22263A6A"/>
    <w:multiLevelType w:val="multilevel"/>
    <w:tmpl w:val="43D6D2FA"/>
    <w:numStyleLink w:val="StyleBulletedSymbolsymbolLeft063cmHanging063cm"/>
  </w:abstractNum>
  <w:abstractNum w:abstractNumId="2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ABA5FD8"/>
    <w:multiLevelType w:val="multilevel"/>
    <w:tmpl w:val="43D6D2FA"/>
    <w:numStyleLink w:val="StyleBulletedSymbolsymbolLeft063cmHanging063cm"/>
  </w:abstractNum>
  <w:abstractNum w:abstractNumId="29">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2A22831"/>
    <w:multiLevelType w:val="multilevel"/>
    <w:tmpl w:val="43D6D2FA"/>
    <w:numStyleLink w:val="StyleBulletedSymbolsymbolLeft063cmHanging063cm"/>
  </w:abstractNum>
  <w:abstractNum w:abstractNumId="31">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2394C42"/>
    <w:multiLevelType w:val="hybridMultilevel"/>
    <w:tmpl w:val="A0EE56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45403F1"/>
    <w:multiLevelType w:val="hybridMultilevel"/>
    <w:tmpl w:val="B7B4FA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98365C6"/>
    <w:multiLevelType w:val="multilevel"/>
    <w:tmpl w:val="E67CE66C"/>
    <w:numStyleLink w:val="StyleNumberedLeft0cmHanging075cm"/>
  </w:abstractNum>
  <w:abstractNum w:abstractNumId="37">
    <w:nsid w:val="7E2F1E98"/>
    <w:multiLevelType w:val="hybridMultilevel"/>
    <w:tmpl w:val="1F7C5302"/>
    <w:lvl w:ilvl="0" w:tplc="B70837B2">
      <w:start w:val="3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32"/>
  </w:num>
  <w:num w:numId="3">
    <w:abstractNumId w:val="24"/>
  </w:num>
  <w:num w:numId="4">
    <w:abstractNumId w:val="20"/>
  </w:num>
  <w:num w:numId="5">
    <w:abstractNumId w:val="29"/>
  </w:num>
  <w:num w:numId="6">
    <w:abstractNumId w:val="33"/>
  </w:num>
  <w:num w:numId="7">
    <w:abstractNumId w:val="23"/>
  </w:num>
  <w:num w:numId="8">
    <w:abstractNumId w:val="21"/>
  </w:num>
  <w:num w:numId="9">
    <w:abstractNumId w:val="13"/>
  </w:num>
  <w:num w:numId="10">
    <w:abstractNumId w:val="16"/>
  </w:num>
  <w:num w:numId="11">
    <w:abstractNumId w:val="26"/>
  </w:num>
  <w:num w:numId="12">
    <w:abstractNumId w:val="25"/>
  </w:num>
  <w:num w:numId="13">
    <w:abstractNumId w:val="10"/>
  </w:num>
  <w:num w:numId="14">
    <w:abstractNumId w:val="36"/>
  </w:num>
  <w:num w:numId="15">
    <w:abstractNumId w:val="18"/>
  </w:num>
  <w:num w:numId="16">
    <w:abstractNumId w:val="11"/>
  </w:num>
  <w:num w:numId="17">
    <w:abstractNumId w:val="28"/>
  </w:num>
  <w:num w:numId="18">
    <w:abstractNumId w:val="12"/>
  </w:num>
  <w:num w:numId="19">
    <w:abstractNumId w:val="30"/>
  </w:num>
  <w:num w:numId="20">
    <w:abstractNumId w:val="19"/>
  </w:num>
  <w:num w:numId="21">
    <w:abstractNumId w:val="22"/>
  </w:num>
  <w:num w:numId="22">
    <w:abstractNumId w:val="14"/>
  </w:num>
  <w:num w:numId="23">
    <w:abstractNumId w:val="31"/>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5"/>
  </w:num>
  <w:num w:numId="35">
    <w:abstractNumId w:val="15"/>
  </w:num>
  <w:num w:numId="36">
    <w:abstractNumId w:val="17"/>
  </w:num>
  <w:num w:numId="37">
    <w:abstractNumId w:val="34"/>
  </w:num>
  <w:num w:numId="38">
    <w:abstractNumId w:val="3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117D4"/>
    <w:rsid w:val="000314D7"/>
    <w:rsid w:val="00045F8B"/>
    <w:rsid w:val="00046D2B"/>
    <w:rsid w:val="00056263"/>
    <w:rsid w:val="00064D8A"/>
    <w:rsid w:val="00064F82"/>
    <w:rsid w:val="00066510"/>
    <w:rsid w:val="00077523"/>
    <w:rsid w:val="000B58B0"/>
    <w:rsid w:val="000C089F"/>
    <w:rsid w:val="000C3928"/>
    <w:rsid w:val="000C5E8E"/>
    <w:rsid w:val="000D47BA"/>
    <w:rsid w:val="000E090C"/>
    <w:rsid w:val="000F4751"/>
    <w:rsid w:val="0010524C"/>
    <w:rsid w:val="00111FB1"/>
    <w:rsid w:val="00113418"/>
    <w:rsid w:val="001356F1"/>
    <w:rsid w:val="00136994"/>
    <w:rsid w:val="0014128E"/>
    <w:rsid w:val="00142B61"/>
    <w:rsid w:val="00151888"/>
    <w:rsid w:val="00170A2D"/>
    <w:rsid w:val="00176AEA"/>
    <w:rsid w:val="001808BC"/>
    <w:rsid w:val="00182B81"/>
    <w:rsid w:val="0018619D"/>
    <w:rsid w:val="001A011E"/>
    <w:rsid w:val="001A066A"/>
    <w:rsid w:val="001A13E6"/>
    <w:rsid w:val="001A5731"/>
    <w:rsid w:val="001B42C3"/>
    <w:rsid w:val="001B709E"/>
    <w:rsid w:val="001C5015"/>
    <w:rsid w:val="001C5D5E"/>
    <w:rsid w:val="001D678D"/>
    <w:rsid w:val="001E03F8"/>
    <w:rsid w:val="001E1678"/>
    <w:rsid w:val="001E3376"/>
    <w:rsid w:val="002069B3"/>
    <w:rsid w:val="00220B34"/>
    <w:rsid w:val="002329CF"/>
    <w:rsid w:val="00232F5B"/>
    <w:rsid w:val="00247981"/>
    <w:rsid w:val="00247C29"/>
    <w:rsid w:val="00260467"/>
    <w:rsid w:val="00263EA3"/>
    <w:rsid w:val="00284F85"/>
    <w:rsid w:val="00290915"/>
    <w:rsid w:val="002A22E2"/>
    <w:rsid w:val="002C64F7"/>
    <w:rsid w:val="002C7D1B"/>
    <w:rsid w:val="002E7C31"/>
    <w:rsid w:val="002F0740"/>
    <w:rsid w:val="002F41F2"/>
    <w:rsid w:val="00301BF3"/>
    <w:rsid w:val="0030208D"/>
    <w:rsid w:val="00323418"/>
    <w:rsid w:val="003357BF"/>
    <w:rsid w:val="00352473"/>
    <w:rsid w:val="00364FAD"/>
    <w:rsid w:val="0036738F"/>
    <w:rsid w:val="0036759C"/>
    <w:rsid w:val="00367AE5"/>
    <w:rsid w:val="00367D71"/>
    <w:rsid w:val="00377311"/>
    <w:rsid w:val="0038150A"/>
    <w:rsid w:val="003B6E75"/>
    <w:rsid w:val="003B7DA1"/>
    <w:rsid w:val="003C59C4"/>
    <w:rsid w:val="003D0379"/>
    <w:rsid w:val="003D2574"/>
    <w:rsid w:val="003D4C59"/>
    <w:rsid w:val="003E4F78"/>
    <w:rsid w:val="003F4267"/>
    <w:rsid w:val="00404032"/>
    <w:rsid w:val="0040736F"/>
    <w:rsid w:val="00412C1F"/>
    <w:rsid w:val="004165D8"/>
    <w:rsid w:val="00421CB2"/>
    <w:rsid w:val="00425FDD"/>
    <w:rsid w:val="004268B9"/>
    <w:rsid w:val="00426B52"/>
    <w:rsid w:val="00431701"/>
    <w:rsid w:val="00433B96"/>
    <w:rsid w:val="004440F1"/>
    <w:rsid w:val="004456DD"/>
    <w:rsid w:val="00446CDF"/>
    <w:rsid w:val="004521B7"/>
    <w:rsid w:val="00462AB5"/>
    <w:rsid w:val="00465EAF"/>
    <w:rsid w:val="00472A45"/>
    <w:rsid w:val="004738C5"/>
    <w:rsid w:val="00491046"/>
    <w:rsid w:val="004A2AC7"/>
    <w:rsid w:val="004A6D2F"/>
    <w:rsid w:val="004C2887"/>
    <w:rsid w:val="004D2626"/>
    <w:rsid w:val="004D6E26"/>
    <w:rsid w:val="004D77D3"/>
    <w:rsid w:val="004E2959"/>
    <w:rsid w:val="004F20EF"/>
    <w:rsid w:val="0050321C"/>
    <w:rsid w:val="0054712D"/>
    <w:rsid w:val="00547EF6"/>
    <w:rsid w:val="005570B5"/>
    <w:rsid w:val="00567E18"/>
    <w:rsid w:val="00575F5F"/>
    <w:rsid w:val="00581805"/>
    <w:rsid w:val="00585467"/>
    <w:rsid w:val="00585F76"/>
    <w:rsid w:val="005A34E4"/>
    <w:rsid w:val="005B17F2"/>
    <w:rsid w:val="005B5CB3"/>
    <w:rsid w:val="005B7FB0"/>
    <w:rsid w:val="005C35A5"/>
    <w:rsid w:val="005C577C"/>
    <w:rsid w:val="005D0621"/>
    <w:rsid w:val="005D1E27"/>
    <w:rsid w:val="005D2A3E"/>
    <w:rsid w:val="005E022E"/>
    <w:rsid w:val="005E5215"/>
    <w:rsid w:val="005F7F7E"/>
    <w:rsid w:val="00614693"/>
    <w:rsid w:val="00623C2F"/>
    <w:rsid w:val="00633578"/>
    <w:rsid w:val="00637068"/>
    <w:rsid w:val="00650811"/>
    <w:rsid w:val="006521E7"/>
    <w:rsid w:val="00656FBD"/>
    <w:rsid w:val="00661D3E"/>
    <w:rsid w:val="00692627"/>
    <w:rsid w:val="006969E7"/>
    <w:rsid w:val="006A3643"/>
    <w:rsid w:val="006C2A29"/>
    <w:rsid w:val="006C64CF"/>
    <w:rsid w:val="006D17B1"/>
    <w:rsid w:val="006D4752"/>
    <w:rsid w:val="006D708A"/>
    <w:rsid w:val="006E14C1"/>
    <w:rsid w:val="006F0292"/>
    <w:rsid w:val="006F27FA"/>
    <w:rsid w:val="006F416B"/>
    <w:rsid w:val="006F519B"/>
    <w:rsid w:val="00713675"/>
    <w:rsid w:val="00715823"/>
    <w:rsid w:val="00737B93"/>
    <w:rsid w:val="00745BF0"/>
    <w:rsid w:val="007615FE"/>
    <w:rsid w:val="0076655C"/>
    <w:rsid w:val="007742DC"/>
    <w:rsid w:val="00791437"/>
    <w:rsid w:val="007B0C2C"/>
    <w:rsid w:val="007B278E"/>
    <w:rsid w:val="007C5C23"/>
    <w:rsid w:val="007E2A26"/>
    <w:rsid w:val="007F2348"/>
    <w:rsid w:val="00803F07"/>
    <w:rsid w:val="0080749A"/>
    <w:rsid w:val="00821FB8"/>
    <w:rsid w:val="00822ACD"/>
    <w:rsid w:val="00827A8C"/>
    <w:rsid w:val="00855C66"/>
    <w:rsid w:val="00865BE0"/>
    <w:rsid w:val="00870345"/>
    <w:rsid w:val="00871EE4"/>
    <w:rsid w:val="0087509D"/>
    <w:rsid w:val="008B293F"/>
    <w:rsid w:val="008B500E"/>
    <w:rsid w:val="008B7371"/>
    <w:rsid w:val="008D3DDB"/>
    <w:rsid w:val="008F573F"/>
    <w:rsid w:val="009034EC"/>
    <w:rsid w:val="00906BA4"/>
    <w:rsid w:val="0093067A"/>
    <w:rsid w:val="00941C60"/>
    <w:rsid w:val="00966D42"/>
    <w:rsid w:val="00971689"/>
    <w:rsid w:val="00973E90"/>
    <w:rsid w:val="00975B07"/>
    <w:rsid w:val="00980B4A"/>
    <w:rsid w:val="009C3C1C"/>
    <w:rsid w:val="009E3D0A"/>
    <w:rsid w:val="009E51FC"/>
    <w:rsid w:val="009F1D28"/>
    <w:rsid w:val="009F7618"/>
    <w:rsid w:val="00A04D23"/>
    <w:rsid w:val="00A06766"/>
    <w:rsid w:val="00A13765"/>
    <w:rsid w:val="00A1580A"/>
    <w:rsid w:val="00A21B12"/>
    <w:rsid w:val="00A23F80"/>
    <w:rsid w:val="00A46E98"/>
    <w:rsid w:val="00A6352B"/>
    <w:rsid w:val="00A701B5"/>
    <w:rsid w:val="00A714BB"/>
    <w:rsid w:val="00A92D8F"/>
    <w:rsid w:val="00AA589B"/>
    <w:rsid w:val="00AB2988"/>
    <w:rsid w:val="00AB3BF7"/>
    <w:rsid w:val="00AB7999"/>
    <w:rsid w:val="00AD3292"/>
    <w:rsid w:val="00AD7F39"/>
    <w:rsid w:val="00AE7AF0"/>
    <w:rsid w:val="00B500CA"/>
    <w:rsid w:val="00B55631"/>
    <w:rsid w:val="00B70BEE"/>
    <w:rsid w:val="00B86314"/>
    <w:rsid w:val="00B93ECD"/>
    <w:rsid w:val="00BA1C2E"/>
    <w:rsid w:val="00BA3732"/>
    <w:rsid w:val="00BC200B"/>
    <w:rsid w:val="00BC4756"/>
    <w:rsid w:val="00BC69A4"/>
    <w:rsid w:val="00BE0680"/>
    <w:rsid w:val="00BE305F"/>
    <w:rsid w:val="00BE7BA3"/>
    <w:rsid w:val="00BF5682"/>
    <w:rsid w:val="00BF5A88"/>
    <w:rsid w:val="00BF7B09"/>
    <w:rsid w:val="00C20A95"/>
    <w:rsid w:val="00C2692F"/>
    <w:rsid w:val="00C3207C"/>
    <w:rsid w:val="00C400E1"/>
    <w:rsid w:val="00C41187"/>
    <w:rsid w:val="00C63C31"/>
    <w:rsid w:val="00C757A0"/>
    <w:rsid w:val="00C760DE"/>
    <w:rsid w:val="00C82630"/>
    <w:rsid w:val="00C85B4E"/>
    <w:rsid w:val="00C907F7"/>
    <w:rsid w:val="00C95BEB"/>
    <w:rsid w:val="00CA2103"/>
    <w:rsid w:val="00CB6B99"/>
    <w:rsid w:val="00CE4C87"/>
    <w:rsid w:val="00CE544A"/>
    <w:rsid w:val="00D11E1C"/>
    <w:rsid w:val="00D13676"/>
    <w:rsid w:val="00D160B0"/>
    <w:rsid w:val="00D17F94"/>
    <w:rsid w:val="00D223FC"/>
    <w:rsid w:val="00D26D1E"/>
    <w:rsid w:val="00D474CF"/>
    <w:rsid w:val="00D5547E"/>
    <w:rsid w:val="00D674F3"/>
    <w:rsid w:val="00D869A1"/>
    <w:rsid w:val="00DA413F"/>
    <w:rsid w:val="00DA4584"/>
    <w:rsid w:val="00DA614B"/>
    <w:rsid w:val="00DB6435"/>
    <w:rsid w:val="00DC3060"/>
    <w:rsid w:val="00DE0FB2"/>
    <w:rsid w:val="00DF093E"/>
    <w:rsid w:val="00E01F42"/>
    <w:rsid w:val="00E206D6"/>
    <w:rsid w:val="00E3366E"/>
    <w:rsid w:val="00E52086"/>
    <w:rsid w:val="00E543A6"/>
    <w:rsid w:val="00E60479"/>
    <w:rsid w:val="00E61D73"/>
    <w:rsid w:val="00E73684"/>
    <w:rsid w:val="00E76918"/>
    <w:rsid w:val="00E818D6"/>
    <w:rsid w:val="00E87F7A"/>
    <w:rsid w:val="00E96BD7"/>
    <w:rsid w:val="00EA0DB1"/>
    <w:rsid w:val="00EA0EE9"/>
    <w:rsid w:val="00ED443A"/>
    <w:rsid w:val="00ED52CA"/>
    <w:rsid w:val="00ED5860"/>
    <w:rsid w:val="00EE35C9"/>
    <w:rsid w:val="00F05ECA"/>
    <w:rsid w:val="00F3566E"/>
    <w:rsid w:val="00F375FB"/>
    <w:rsid w:val="00F41AC1"/>
    <w:rsid w:val="00F4367A"/>
    <w:rsid w:val="00F445B1"/>
    <w:rsid w:val="00F45CD4"/>
    <w:rsid w:val="00F615BA"/>
    <w:rsid w:val="00F66DCA"/>
    <w:rsid w:val="00F74F53"/>
    <w:rsid w:val="00F7606D"/>
    <w:rsid w:val="00F81670"/>
    <w:rsid w:val="00F82024"/>
    <w:rsid w:val="00F95BC9"/>
    <w:rsid w:val="00FA624C"/>
    <w:rsid w:val="00FD0FAC"/>
    <w:rsid w:val="00FD1DFA"/>
    <w:rsid w:val="00FD4966"/>
    <w:rsid w:val="00FE0C73"/>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annotation reference" w:uiPriority="99"/>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annotation reference" w:uiPriority="99"/>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2D1B6-D76C-44F1-A02F-ED040C916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70BFE56A</Template>
  <TotalTime>5</TotalTime>
  <Pages>10</Pages>
  <Words>3545</Words>
  <Characters>20211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thudson</cp:lastModifiedBy>
  <cp:revision>3</cp:revision>
  <cp:lastPrinted>2015-07-03T13:50:00Z</cp:lastPrinted>
  <dcterms:created xsi:type="dcterms:W3CDTF">2019-10-30T11:31:00Z</dcterms:created>
  <dcterms:modified xsi:type="dcterms:W3CDTF">2019-10-30T17:03:00Z</dcterms:modified>
</cp:coreProperties>
</file>