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270313" w:rsidRDefault="00623C2F" w:rsidP="00270313">
      <w:pPr>
        <w:pStyle w:val="CommentText"/>
        <w:rPr>
          <w:noProof/>
          <w:sz w:val="24"/>
          <w:szCs w:val="24"/>
          <w:lang w:val="en-US"/>
        </w:rPr>
      </w:pPr>
    </w:p>
    <w:p w:rsidR="00623C2F" w:rsidRPr="00270313" w:rsidRDefault="00623C2F" w:rsidP="00270313">
      <w:pPr>
        <w:pStyle w:val="CommentText"/>
        <w:rPr>
          <w:noProof/>
          <w:sz w:val="24"/>
          <w:szCs w:val="24"/>
          <w:lang w:val="en-US"/>
        </w:rPr>
      </w:pPr>
    </w:p>
    <w:p w:rsidR="00623C2F" w:rsidRPr="00270313" w:rsidRDefault="00623C2F" w:rsidP="00270313">
      <w:pPr>
        <w:pStyle w:val="CommentText"/>
        <w:rPr>
          <w:noProof/>
          <w:sz w:val="24"/>
          <w:szCs w:val="24"/>
          <w:lang w:val="en-US"/>
        </w:rPr>
      </w:pPr>
    </w:p>
    <w:p w:rsidR="00F4367A" w:rsidRPr="00270313" w:rsidRDefault="00965260" w:rsidP="00270313">
      <w:pPr>
        <w:pStyle w:val="CommentText"/>
        <w:rPr>
          <w:noProof/>
          <w:sz w:val="24"/>
          <w:szCs w:val="24"/>
          <w:lang w:val="en-US"/>
        </w:rPr>
      </w:pPr>
      <w:r>
        <w:rPr>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965260">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60DAF" w:rsidRDefault="00965260">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270313" w:rsidRDefault="00F4367A" w:rsidP="00270313">
      <w:pPr>
        <w:jc w:val="right"/>
        <w:rPr>
          <w:b/>
          <w:bCs/>
        </w:rPr>
      </w:pPr>
    </w:p>
    <w:p w:rsidR="00F4367A" w:rsidRPr="00270313" w:rsidRDefault="00F4367A" w:rsidP="00270313">
      <w:pPr>
        <w:jc w:val="right"/>
      </w:pPr>
    </w:p>
    <w:p w:rsidR="00F4367A" w:rsidRPr="00270313" w:rsidRDefault="00F4367A" w:rsidP="00270313">
      <w:pPr>
        <w:tabs>
          <w:tab w:val="left" w:pos="2160"/>
        </w:tabs>
        <w:rPr>
          <w:b/>
          <w:bCs/>
          <w:u w:val="single"/>
        </w:rPr>
      </w:pPr>
      <w:r w:rsidRPr="00270313">
        <w:rPr>
          <w:b/>
          <w:bCs/>
          <w:u w:val="single"/>
        </w:rPr>
        <w:t xml:space="preserve">                                                                           </w:t>
      </w:r>
    </w:p>
    <w:p w:rsidR="00F4367A" w:rsidRPr="00270313" w:rsidRDefault="00F4367A" w:rsidP="00270313">
      <w:pPr>
        <w:rPr>
          <w:b/>
          <w:bCs/>
        </w:rPr>
      </w:pPr>
    </w:p>
    <w:p w:rsidR="00F4367A" w:rsidRPr="00270313" w:rsidRDefault="00F4367A" w:rsidP="00270313">
      <w:pPr>
        <w:tabs>
          <w:tab w:val="left" w:pos="2160"/>
        </w:tabs>
        <w:rPr>
          <w:rFonts w:cs="Arial"/>
          <w:b/>
          <w:bCs/>
        </w:rPr>
      </w:pPr>
      <w:r w:rsidRPr="00270313">
        <w:rPr>
          <w:rFonts w:cs="Arial"/>
          <w:b/>
          <w:bCs/>
        </w:rPr>
        <w:t xml:space="preserve">To: </w:t>
      </w:r>
      <w:r w:rsidR="00147446" w:rsidRPr="00270313">
        <w:rPr>
          <w:rFonts w:cs="Arial"/>
          <w:b/>
          <w:bCs/>
        </w:rPr>
        <w:t>Scrutiny Committee</w:t>
      </w:r>
    </w:p>
    <w:p w:rsidR="00F4367A" w:rsidRPr="00270313" w:rsidRDefault="00F4367A" w:rsidP="00270313">
      <w:pPr>
        <w:rPr>
          <w:rFonts w:cs="Arial"/>
          <w:b/>
          <w:bCs/>
        </w:rPr>
      </w:pPr>
    </w:p>
    <w:p w:rsidR="00F4367A" w:rsidRPr="00270313" w:rsidRDefault="00F4367A" w:rsidP="00270313">
      <w:pPr>
        <w:tabs>
          <w:tab w:val="left" w:pos="2160"/>
          <w:tab w:val="left" w:pos="6300"/>
          <w:tab w:val="left" w:pos="7380"/>
        </w:tabs>
        <w:rPr>
          <w:rFonts w:cs="Arial"/>
          <w:b/>
          <w:bCs/>
        </w:rPr>
      </w:pPr>
      <w:r w:rsidRPr="00270313">
        <w:rPr>
          <w:rFonts w:cs="Arial"/>
          <w:b/>
          <w:bCs/>
        </w:rPr>
        <w:t>Date:</w:t>
      </w:r>
      <w:r w:rsidR="00E111FD" w:rsidRPr="00270313">
        <w:rPr>
          <w:rFonts w:cs="Arial"/>
          <w:b/>
          <w:bCs/>
        </w:rPr>
        <w:t xml:space="preserve"> 7 June 2016</w:t>
      </w:r>
      <w:r w:rsidRPr="00270313">
        <w:rPr>
          <w:rFonts w:cs="Arial"/>
          <w:b/>
          <w:bCs/>
        </w:rPr>
        <w:tab/>
        <w:t xml:space="preserve">   </w:t>
      </w:r>
      <w:r w:rsidRPr="00270313">
        <w:rPr>
          <w:rFonts w:cs="Arial"/>
          <w:b/>
          <w:bCs/>
        </w:rPr>
        <w:tab/>
      </w:r>
    </w:p>
    <w:p w:rsidR="00F4367A" w:rsidRPr="00270313" w:rsidRDefault="00F4367A" w:rsidP="00270313">
      <w:pPr>
        <w:jc w:val="right"/>
        <w:rPr>
          <w:rFonts w:cs="Arial"/>
          <w:b/>
          <w:bCs/>
        </w:rPr>
      </w:pPr>
    </w:p>
    <w:p w:rsidR="00F4367A" w:rsidRPr="00270313" w:rsidRDefault="00F4367A" w:rsidP="00270313">
      <w:pPr>
        <w:rPr>
          <w:rFonts w:cs="Arial"/>
          <w:b/>
          <w:bCs/>
        </w:rPr>
      </w:pPr>
      <w:r w:rsidRPr="00270313">
        <w:rPr>
          <w:rFonts w:cs="Arial"/>
          <w:b/>
          <w:bCs/>
        </w:rPr>
        <w:t>Report of:</w:t>
      </w:r>
      <w:r w:rsidR="009D53A2" w:rsidRPr="00270313">
        <w:rPr>
          <w:rFonts w:cs="Arial"/>
          <w:b/>
          <w:bCs/>
        </w:rPr>
        <w:t xml:space="preserve"> Head of </w:t>
      </w:r>
      <w:r w:rsidR="00E111FD" w:rsidRPr="00270313">
        <w:rPr>
          <w:rFonts w:cs="Arial"/>
          <w:b/>
          <w:bCs/>
        </w:rPr>
        <w:t xml:space="preserve">Planning &amp; Regulatory </w:t>
      </w:r>
    </w:p>
    <w:p w:rsidR="00F4367A" w:rsidRPr="00270313" w:rsidRDefault="00F4367A" w:rsidP="00270313">
      <w:pPr>
        <w:tabs>
          <w:tab w:val="left" w:pos="2160"/>
        </w:tabs>
        <w:rPr>
          <w:rFonts w:cs="Arial"/>
          <w:b/>
          <w:bCs/>
        </w:rPr>
      </w:pPr>
    </w:p>
    <w:p w:rsidR="00F4367A" w:rsidRPr="00270313" w:rsidRDefault="00F4367A" w:rsidP="00270313">
      <w:pPr>
        <w:tabs>
          <w:tab w:val="left" w:pos="2160"/>
        </w:tabs>
        <w:rPr>
          <w:rFonts w:cs="Arial"/>
          <w:b/>
          <w:bCs/>
        </w:rPr>
      </w:pPr>
      <w:r w:rsidRPr="00270313">
        <w:rPr>
          <w:rFonts w:cs="Arial"/>
          <w:b/>
          <w:bCs/>
        </w:rPr>
        <w:t>Title of Report:</w:t>
      </w:r>
      <w:r w:rsidR="00060DAF" w:rsidRPr="00270313">
        <w:rPr>
          <w:rFonts w:cs="Arial"/>
          <w:b/>
          <w:bCs/>
        </w:rPr>
        <w:t xml:space="preserve"> </w:t>
      </w:r>
      <w:r w:rsidR="001052DD" w:rsidRPr="00270313">
        <w:rPr>
          <w:rFonts w:cs="Arial"/>
          <w:b/>
          <w:bCs/>
        </w:rPr>
        <w:t>Review of Planning Enforcement Activity</w:t>
      </w:r>
    </w:p>
    <w:p w:rsidR="00F4367A" w:rsidRPr="00270313" w:rsidRDefault="00F4367A" w:rsidP="00270313">
      <w:pPr>
        <w:rPr>
          <w:rFonts w:cs="Arial"/>
        </w:rPr>
      </w:pPr>
    </w:p>
    <w:p w:rsidR="00F4367A" w:rsidRPr="00270313" w:rsidRDefault="00F4367A" w:rsidP="00270313">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270313" w:rsidRDefault="00012F10" w:rsidP="00270313">
      <w:pPr>
        <w:pStyle w:val="Heading1"/>
        <w:pBdr>
          <w:top w:val="single" w:sz="4" w:space="1" w:color="auto"/>
          <w:left w:val="single" w:sz="4" w:space="4" w:color="auto"/>
          <w:bottom w:val="single" w:sz="4" w:space="1" w:color="auto"/>
          <w:right w:val="single" w:sz="4" w:space="4" w:color="auto"/>
        </w:pBdr>
        <w:jc w:val="center"/>
        <w:rPr>
          <w:u w:val="single"/>
        </w:rPr>
      </w:pPr>
      <w:r w:rsidRPr="00270313">
        <w:rPr>
          <w:u w:val="single"/>
        </w:rPr>
        <w:t>Summary</w:t>
      </w:r>
    </w:p>
    <w:p w:rsidR="00F4367A" w:rsidRPr="00270313" w:rsidRDefault="00F4367A" w:rsidP="00270313">
      <w:pPr>
        <w:pBdr>
          <w:top w:val="single" w:sz="4" w:space="1" w:color="auto"/>
          <w:left w:val="single" w:sz="4" w:space="4" w:color="auto"/>
          <w:bottom w:val="single" w:sz="4" w:space="1" w:color="auto"/>
          <w:right w:val="single" w:sz="4" w:space="4" w:color="auto"/>
        </w:pBdr>
        <w:rPr>
          <w:rFonts w:cs="Arial"/>
        </w:rPr>
      </w:pPr>
    </w:p>
    <w:p w:rsidR="00F4367A" w:rsidRPr="00270313" w:rsidRDefault="00F4367A" w:rsidP="00270313">
      <w:pPr>
        <w:pBdr>
          <w:top w:val="single" w:sz="4" w:space="1" w:color="auto"/>
          <w:left w:val="single" w:sz="4" w:space="4" w:color="auto"/>
          <w:bottom w:val="single" w:sz="4" w:space="1" w:color="auto"/>
          <w:right w:val="single" w:sz="4" w:space="4" w:color="auto"/>
        </w:pBdr>
        <w:rPr>
          <w:rFonts w:cs="Arial"/>
        </w:rPr>
      </w:pPr>
      <w:r w:rsidRPr="00270313">
        <w:rPr>
          <w:rFonts w:cs="Arial"/>
          <w:b/>
          <w:bCs/>
        </w:rPr>
        <w:t>Purpose of report</w:t>
      </w:r>
      <w:r w:rsidRPr="00270313">
        <w:rPr>
          <w:rFonts w:cs="Arial"/>
        </w:rPr>
        <w:t xml:space="preserve">: </w:t>
      </w:r>
      <w:r w:rsidR="00E111FD" w:rsidRPr="00270313">
        <w:rPr>
          <w:rFonts w:cs="Arial"/>
        </w:rPr>
        <w:t>To update the Scrutiny Committee on</w:t>
      </w:r>
      <w:r w:rsidR="00FB520B" w:rsidRPr="00270313">
        <w:rPr>
          <w:rFonts w:cs="Arial"/>
        </w:rPr>
        <w:t xml:space="preserve"> the current position regarding the Planning Enforcement function and the future plans for the service.</w:t>
      </w:r>
    </w:p>
    <w:p w:rsidR="00E111FD" w:rsidRPr="00270313" w:rsidRDefault="00F4367A" w:rsidP="00270313">
      <w:pPr>
        <w:pBdr>
          <w:top w:val="single" w:sz="4" w:space="1" w:color="auto"/>
          <w:left w:val="single" w:sz="4" w:space="4" w:color="auto"/>
          <w:bottom w:val="single" w:sz="4" w:space="1" w:color="auto"/>
          <w:right w:val="single" w:sz="4" w:space="4" w:color="auto"/>
        </w:pBdr>
        <w:rPr>
          <w:rFonts w:cs="Arial"/>
        </w:rPr>
      </w:pPr>
      <w:r w:rsidRPr="00270313">
        <w:rPr>
          <w:rFonts w:cs="Arial"/>
        </w:rPr>
        <w:tab/>
      </w:r>
      <w:r w:rsidRPr="00270313">
        <w:rPr>
          <w:rFonts w:cs="Arial"/>
        </w:rPr>
        <w:tab/>
      </w:r>
      <w:r w:rsidRPr="00270313">
        <w:rPr>
          <w:rFonts w:cs="Arial"/>
        </w:rPr>
        <w:tab/>
      </w:r>
    </w:p>
    <w:p w:rsidR="00E111FD" w:rsidRPr="00270313" w:rsidRDefault="00E111FD" w:rsidP="00270313">
      <w:pPr>
        <w:pBdr>
          <w:top w:val="single" w:sz="4" w:space="1" w:color="auto"/>
          <w:left w:val="single" w:sz="4" w:space="4" w:color="auto"/>
          <w:bottom w:val="single" w:sz="4" w:space="1" w:color="auto"/>
          <w:right w:val="single" w:sz="4" w:space="4" w:color="auto"/>
        </w:pBdr>
        <w:rPr>
          <w:rFonts w:cs="Arial"/>
        </w:rPr>
      </w:pPr>
      <w:r w:rsidRPr="00270313">
        <w:rPr>
          <w:rFonts w:cs="Arial"/>
          <w:b/>
        </w:rPr>
        <w:t xml:space="preserve">Key Decision: </w:t>
      </w:r>
      <w:r w:rsidRPr="00270313">
        <w:rPr>
          <w:rFonts w:cs="Arial"/>
        </w:rPr>
        <w:t>No</w:t>
      </w:r>
    </w:p>
    <w:p w:rsidR="00F4367A" w:rsidRPr="00270313" w:rsidRDefault="00F4367A" w:rsidP="00270313">
      <w:pPr>
        <w:pBdr>
          <w:top w:val="single" w:sz="4" w:space="1" w:color="auto"/>
          <w:left w:val="single" w:sz="4" w:space="4" w:color="auto"/>
          <w:bottom w:val="single" w:sz="4" w:space="1" w:color="auto"/>
          <w:right w:val="single" w:sz="4" w:space="4" w:color="auto"/>
        </w:pBdr>
        <w:rPr>
          <w:rFonts w:cs="Arial"/>
        </w:rPr>
      </w:pPr>
      <w:r w:rsidRPr="00270313">
        <w:rPr>
          <w:rFonts w:cs="Arial"/>
        </w:rPr>
        <w:tab/>
      </w:r>
      <w:r w:rsidRPr="00270313">
        <w:rPr>
          <w:rFonts w:cs="Arial"/>
        </w:rPr>
        <w:tab/>
      </w:r>
      <w:r w:rsidRPr="00270313">
        <w:rPr>
          <w:rFonts w:cs="Arial"/>
        </w:rPr>
        <w:tab/>
      </w:r>
      <w:r w:rsidRPr="00270313">
        <w:rPr>
          <w:rFonts w:cs="Arial"/>
        </w:rPr>
        <w:tab/>
      </w:r>
      <w:r w:rsidRPr="00270313">
        <w:rPr>
          <w:rFonts w:cs="Arial"/>
        </w:rPr>
        <w:tab/>
      </w:r>
      <w:r w:rsidRPr="00270313">
        <w:rPr>
          <w:rFonts w:cs="Arial"/>
        </w:rPr>
        <w:tab/>
      </w:r>
    </w:p>
    <w:p w:rsidR="00F4367A" w:rsidRPr="00270313" w:rsidRDefault="00F4367A" w:rsidP="00270313">
      <w:pPr>
        <w:pBdr>
          <w:top w:val="single" w:sz="4" w:space="1" w:color="auto"/>
          <w:left w:val="single" w:sz="4" w:space="4" w:color="auto"/>
          <w:bottom w:val="single" w:sz="4" w:space="1" w:color="auto"/>
          <w:right w:val="single" w:sz="4" w:space="4" w:color="auto"/>
        </w:pBdr>
        <w:rPr>
          <w:rFonts w:cs="Arial"/>
          <w:b/>
          <w:bCs/>
        </w:rPr>
      </w:pPr>
      <w:r w:rsidRPr="00270313">
        <w:rPr>
          <w:rFonts w:cs="Arial"/>
          <w:b/>
          <w:bCs/>
        </w:rPr>
        <w:t xml:space="preserve">Executive lead member: </w:t>
      </w:r>
      <w:r w:rsidR="00EF3C59" w:rsidRPr="00270313">
        <w:rPr>
          <w:rFonts w:cs="Arial"/>
          <w:bCs/>
        </w:rPr>
        <w:t>Councillor Alex Hollingsworth</w:t>
      </w:r>
      <w:r w:rsidR="001B3EE7">
        <w:rPr>
          <w:rFonts w:cs="Arial"/>
          <w:bCs/>
        </w:rPr>
        <w:t>, Board Member for Planning and Regulatory Services</w:t>
      </w:r>
    </w:p>
    <w:p w:rsidR="00060DAF" w:rsidRPr="00270313" w:rsidRDefault="00060DAF" w:rsidP="00270313">
      <w:pPr>
        <w:pBdr>
          <w:top w:val="single" w:sz="4" w:space="1" w:color="auto"/>
          <w:left w:val="single" w:sz="4" w:space="4" w:color="auto"/>
          <w:bottom w:val="single" w:sz="4" w:space="1" w:color="auto"/>
          <w:right w:val="single" w:sz="4" w:space="4" w:color="auto"/>
        </w:pBdr>
        <w:rPr>
          <w:rFonts w:cs="Arial"/>
          <w:b/>
          <w:bCs/>
        </w:rPr>
      </w:pPr>
    </w:p>
    <w:p w:rsidR="00E111FD" w:rsidRPr="00270313" w:rsidRDefault="00060DAF" w:rsidP="00270313">
      <w:pPr>
        <w:pBdr>
          <w:top w:val="single" w:sz="4" w:space="1" w:color="auto"/>
          <w:left w:val="single" w:sz="4" w:space="4" w:color="auto"/>
          <w:bottom w:val="single" w:sz="4" w:space="1" w:color="auto"/>
          <w:right w:val="single" w:sz="4" w:space="4" w:color="auto"/>
        </w:pBdr>
        <w:rPr>
          <w:rFonts w:cs="Arial"/>
          <w:b/>
          <w:bCs/>
        </w:rPr>
      </w:pPr>
      <w:r w:rsidRPr="00270313">
        <w:rPr>
          <w:rFonts w:cs="Arial"/>
          <w:b/>
          <w:bCs/>
        </w:rPr>
        <w:t xml:space="preserve">Report author: </w:t>
      </w:r>
      <w:r w:rsidR="00EF3C59" w:rsidRPr="00270313">
        <w:rPr>
          <w:rFonts w:cs="Arial"/>
          <w:bCs/>
        </w:rPr>
        <w:t>Ian Wright</w:t>
      </w:r>
      <w:r w:rsidR="001B3EE7">
        <w:rPr>
          <w:rFonts w:cs="Arial"/>
          <w:bCs/>
        </w:rPr>
        <w:t>, Environmental Health Service Manager</w:t>
      </w:r>
    </w:p>
    <w:p w:rsidR="00E111FD" w:rsidRPr="00270313" w:rsidRDefault="00E111FD" w:rsidP="00270313">
      <w:pPr>
        <w:pBdr>
          <w:top w:val="single" w:sz="4" w:space="1" w:color="auto"/>
          <w:left w:val="single" w:sz="4" w:space="4" w:color="auto"/>
          <w:bottom w:val="single" w:sz="4" w:space="1" w:color="auto"/>
          <w:right w:val="single" w:sz="4" w:space="4" w:color="auto"/>
        </w:pBdr>
        <w:rPr>
          <w:rFonts w:cs="Arial"/>
          <w:b/>
          <w:bCs/>
        </w:rPr>
      </w:pPr>
    </w:p>
    <w:p w:rsidR="00E111FD" w:rsidRPr="00270313" w:rsidRDefault="00E111FD" w:rsidP="00270313">
      <w:pPr>
        <w:pBdr>
          <w:top w:val="single" w:sz="4" w:space="1" w:color="auto"/>
          <w:left w:val="single" w:sz="4" w:space="4" w:color="auto"/>
          <w:bottom w:val="single" w:sz="4" w:space="1" w:color="auto"/>
          <w:right w:val="single" w:sz="4" w:space="4" w:color="auto"/>
        </w:pBdr>
        <w:rPr>
          <w:rFonts w:cs="Arial"/>
          <w:b/>
          <w:bCs/>
        </w:rPr>
      </w:pPr>
      <w:r w:rsidRPr="00270313">
        <w:rPr>
          <w:rFonts w:cs="Arial"/>
          <w:b/>
          <w:bCs/>
        </w:rPr>
        <w:t xml:space="preserve">Policy Framework: </w:t>
      </w:r>
      <w:r w:rsidR="00EF3C59" w:rsidRPr="00270313">
        <w:rPr>
          <w:rFonts w:cs="Arial"/>
          <w:bCs/>
        </w:rPr>
        <w:t>Efficient and Effective Council</w:t>
      </w:r>
    </w:p>
    <w:p w:rsidR="00F4367A" w:rsidRPr="00270313" w:rsidRDefault="00F4367A" w:rsidP="00270313">
      <w:pPr>
        <w:pStyle w:val="Heading1"/>
        <w:pBdr>
          <w:top w:val="single" w:sz="4" w:space="1" w:color="auto"/>
          <w:left w:val="single" w:sz="4" w:space="4" w:color="auto"/>
          <w:bottom w:val="single" w:sz="4" w:space="1" w:color="auto"/>
          <w:right w:val="single" w:sz="4" w:space="4" w:color="auto"/>
        </w:pBdr>
      </w:pPr>
    </w:p>
    <w:p w:rsidR="00F4367A" w:rsidRPr="00270313" w:rsidRDefault="00F4367A" w:rsidP="00270313">
      <w:pPr>
        <w:rPr>
          <w:rFonts w:cs="Arial"/>
        </w:rPr>
      </w:pPr>
    </w:p>
    <w:p w:rsidR="00713675" w:rsidRDefault="006D1912" w:rsidP="00270313">
      <w:pPr>
        <w:rPr>
          <w:rFonts w:cs="Arial"/>
        </w:rPr>
      </w:pPr>
      <w:r>
        <w:rPr>
          <w:rFonts w:cs="Arial"/>
        </w:rPr>
        <w:t>Appendices to report:</w:t>
      </w:r>
    </w:p>
    <w:p w:rsidR="006D1912" w:rsidRDefault="006D1912" w:rsidP="00270313">
      <w:pPr>
        <w:rPr>
          <w:rFonts w:cs="Arial"/>
        </w:rPr>
      </w:pPr>
      <w:r>
        <w:rPr>
          <w:rFonts w:cs="Arial"/>
        </w:rPr>
        <w:t>Appendix 1 – Service Request Priority</w:t>
      </w:r>
    </w:p>
    <w:p w:rsidR="006D1912" w:rsidRDefault="006D1912" w:rsidP="00270313">
      <w:pPr>
        <w:rPr>
          <w:rFonts w:cs="Arial"/>
        </w:rPr>
      </w:pPr>
      <w:r>
        <w:rPr>
          <w:rFonts w:cs="Arial"/>
        </w:rPr>
        <w:t>Appendix 2 – Investigation outcomes</w:t>
      </w:r>
    </w:p>
    <w:p w:rsidR="006D1912" w:rsidRDefault="006D1912" w:rsidP="00270313">
      <w:pPr>
        <w:rPr>
          <w:rFonts w:cs="Arial"/>
        </w:rPr>
      </w:pPr>
      <w:r>
        <w:rPr>
          <w:rFonts w:cs="Arial"/>
        </w:rPr>
        <w:t xml:space="preserve">Appendix 3 – </w:t>
      </w:r>
      <w:r w:rsidRPr="006D1912">
        <w:rPr>
          <w:rFonts w:cs="Arial"/>
        </w:rPr>
        <w:t>Enforcement action by Top 10 district councils in England</w:t>
      </w:r>
    </w:p>
    <w:p w:rsidR="00713675" w:rsidRPr="00270313" w:rsidRDefault="00713675" w:rsidP="00270313">
      <w:pPr>
        <w:rPr>
          <w:rFonts w:cs="Arial"/>
        </w:rPr>
      </w:pPr>
    </w:p>
    <w:p w:rsidR="00EF3C59" w:rsidRPr="00DB6797" w:rsidRDefault="00060DAF" w:rsidP="00270313">
      <w:pPr>
        <w:rPr>
          <w:rFonts w:cs="Arial"/>
          <w:b/>
        </w:rPr>
      </w:pPr>
      <w:r w:rsidRPr="00DB6797">
        <w:rPr>
          <w:rFonts w:cs="Arial"/>
          <w:b/>
        </w:rPr>
        <w:t>Background</w:t>
      </w:r>
    </w:p>
    <w:p w:rsidR="00EF3C59" w:rsidRPr="00270313" w:rsidRDefault="00EF3C59" w:rsidP="00270313">
      <w:pPr>
        <w:rPr>
          <w:rFonts w:cs="Arial"/>
        </w:rPr>
      </w:pPr>
    </w:p>
    <w:p w:rsidR="00060DAF" w:rsidRPr="008A7C79" w:rsidRDefault="00060DAF" w:rsidP="008A7C79">
      <w:pPr>
        <w:pStyle w:val="ListParagraph"/>
        <w:numPr>
          <w:ilvl w:val="0"/>
          <w:numId w:val="8"/>
        </w:numPr>
        <w:rPr>
          <w:rFonts w:cs="Arial"/>
        </w:rPr>
      </w:pPr>
      <w:r w:rsidRPr="008A7C79">
        <w:rPr>
          <w:rFonts w:cs="Arial"/>
        </w:rPr>
        <w:t>The Scrutiny Committee requested a report to update them on</w:t>
      </w:r>
      <w:r w:rsidR="00EF3C59" w:rsidRPr="008A7C79">
        <w:rPr>
          <w:rFonts w:cs="Arial"/>
        </w:rPr>
        <w:t xml:space="preserve"> </w:t>
      </w:r>
      <w:r w:rsidR="00FB520B" w:rsidRPr="008A7C79">
        <w:rPr>
          <w:rFonts w:cs="Arial"/>
        </w:rPr>
        <w:t xml:space="preserve">the </w:t>
      </w:r>
      <w:r w:rsidR="00EF3C59" w:rsidRPr="008A7C79">
        <w:rPr>
          <w:rFonts w:cs="Arial"/>
        </w:rPr>
        <w:t xml:space="preserve">planning enforcement </w:t>
      </w:r>
      <w:r w:rsidR="00FB520B" w:rsidRPr="008A7C79">
        <w:rPr>
          <w:rFonts w:cs="Arial"/>
        </w:rPr>
        <w:t xml:space="preserve">function and how the service is delivered. </w:t>
      </w:r>
    </w:p>
    <w:p w:rsidR="00060DAF" w:rsidRPr="00270313" w:rsidRDefault="00060DAF" w:rsidP="00270313">
      <w:pPr>
        <w:rPr>
          <w:rFonts w:cs="Arial"/>
        </w:rPr>
      </w:pPr>
    </w:p>
    <w:p w:rsidR="00F91FBA" w:rsidRPr="00DB6797" w:rsidRDefault="00F91FBA" w:rsidP="00270313">
      <w:pPr>
        <w:rPr>
          <w:rFonts w:cs="Arial"/>
          <w:b/>
        </w:rPr>
      </w:pPr>
      <w:r w:rsidRPr="00DB6797">
        <w:rPr>
          <w:rFonts w:cs="Arial"/>
          <w:b/>
        </w:rPr>
        <w:t>National position</w:t>
      </w:r>
    </w:p>
    <w:p w:rsidR="00F91FBA" w:rsidRPr="00270313" w:rsidRDefault="00F91FBA" w:rsidP="00270313">
      <w:pPr>
        <w:rPr>
          <w:rFonts w:cs="Arial"/>
        </w:rPr>
      </w:pPr>
    </w:p>
    <w:p w:rsidR="00605C6B" w:rsidRPr="008A7C79" w:rsidRDefault="00605C6B" w:rsidP="008A7C79">
      <w:pPr>
        <w:pStyle w:val="ListParagraph"/>
        <w:numPr>
          <w:ilvl w:val="0"/>
          <w:numId w:val="8"/>
        </w:numPr>
        <w:autoSpaceDE w:val="0"/>
        <w:autoSpaceDN w:val="0"/>
        <w:adjustRightInd w:val="0"/>
        <w:ind w:right="47"/>
        <w:rPr>
          <w:rFonts w:cs="Arial"/>
          <w:lang w:eastAsia="en-GB"/>
        </w:rPr>
      </w:pPr>
      <w:r w:rsidRPr="008A7C79">
        <w:rPr>
          <w:rFonts w:cs="Arial"/>
          <w:lang w:eastAsia="en-GB"/>
        </w:rPr>
        <w:t>The</w:t>
      </w:r>
      <w:r w:rsidRPr="008A7C79">
        <w:rPr>
          <w:rFonts w:cs="Arial"/>
          <w:spacing w:val="9"/>
          <w:lang w:eastAsia="en-GB"/>
        </w:rPr>
        <w:t xml:space="preserve"> </w:t>
      </w:r>
      <w:r w:rsidRPr="008A7C79">
        <w:rPr>
          <w:rFonts w:cs="Arial"/>
          <w:lang w:eastAsia="en-GB"/>
        </w:rPr>
        <w:t>Gover</w:t>
      </w:r>
      <w:r w:rsidRPr="008A7C79">
        <w:rPr>
          <w:rFonts w:cs="Arial"/>
          <w:spacing w:val="1"/>
          <w:lang w:eastAsia="en-GB"/>
        </w:rPr>
        <w:t>n</w:t>
      </w:r>
      <w:r w:rsidRPr="008A7C79">
        <w:rPr>
          <w:rFonts w:cs="Arial"/>
          <w:lang w:eastAsia="en-GB"/>
        </w:rPr>
        <w:t>ment’s</w:t>
      </w:r>
      <w:r w:rsidRPr="008A7C79">
        <w:rPr>
          <w:rFonts w:cs="Arial"/>
          <w:spacing w:val="-1"/>
          <w:lang w:eastAsia="en-GB"/>
        </w:rPr>
        <w:t xml:space="preserve"> </w:t>
      </w:r>
      <w:r w:rsidRPr="008A7C79">
        <w:rPr>
          <w:rFonts w:cs="Arial"/>
          <w:lang w:eastAsia="en-GB"/>
        </w:rPr>
        <w:t>view</w:t>
      </w:r>
      <w:r w:rsidRPr="008A7C79">
        <w:rPr>
          <w:rFonts w:cs="Arial"/>
          <w:spacing w:val="9"/>
          <w:lang w:eastAsia="en-GB"/>
        </w:rPr>
        <w:t xml:space="preserve"> </w:t>
      </w:r>
      <w:r w:rsidRPr="008A7C79">
        <w:rPr>
          <w:rFonts w:cs="Arial"/>
          <w:lang w:eastAsia="en-GB"/>
        </w:rPr>
        <w:t>is</w:t>
      </w:r>
      <w:r w:rsidRPr="008A7C79">
        <w:rPr>
          <w:rFonts w:cs="Arial"/>
          <w:spacing w:val="11"/>
          <w:lang w:eastAsia="en-GB"/>
        </w:rPr>
        <w:t xml:space="preserve"> </w:t>
      </w:r>
      <w:r w:rsidRPr="008A7C79">
        <w:rPr>
          <w:rFonts w:cs="Arial"/>
          <w:lang w:eastAsia="en-GB"/>
        </w:rPr>
        <w:t>that</w:t>
      </w:r>
      <w:r w:rsidRPr="008A7C79">
        <w:rPr>
          <w:rFonts w:cs="Arial"/>
          <w:spacing w:val="9"/>
          <w:lang w:eastAsia="en-GB"/>
        </w:rPr>
        <w:t xml:space="preserve"> </w:t>
      </w:r>
      <w:r w:rsidRPr="008A7C79">
        <w:rPr>
          <w:rFonts w:cs="Arial"/>
          <w:lang w:eastAsia="en-GB"/>
        </w:rPr>
        <w:t>the</w:t>
      </w:r>
      <w:r w:rsidRPr="008A7C79">
        <w:rPr>
          <w:rFonts w:cs="Arial"/>
          <w:spacing w:val="9"/>
          <w:lang w:eastAsia="en-GB"/>
        </w:rPr>
        <w:t xml:space="preserve"> </w:t>
      </w:r>
      <w:r w:rsidRPr="008A7C79">
        <w:rPr>
          <w:rFonts w:cs="Arial"/>
          <w:lang w:eastAsia="en-GB"/>
        </w:rPr>
        <w:t>integrity</w:t>
      </w:r>
      <w:r w:rsidRPr="008A7C79">
        <w:rPr>
          <w:rFonts w:cs="Arial"/>
          <w:spacing w:val="5"/>
          <w:lang w:eastAsia="en-GB"/>
        </w:rPr>
        <w:t xml:space="preserve"> </w:t>
      </w:r>
      <w:r w:rsidRPr="008A7C79">
        <w:rPr>
          <w:rFonts w:cs="Arial"/>
          <w:lang w:eastAsia="en-GB"/>
        </w:rPr>
        <w:t>of</w:t>
      </w:r>
      <w:r w:rsidRPr="008A7C79">
        <w:rPr>
          <w:rFonts w:cs="Arial"/>
          <w:spacing w:val="11"/>
          <w:lang w:eastAsia="en-GB"/>
        </w:rPr>
        <w:t xml:space="preserve"> </w:t>
      </w:r>
      <w:r w:rsidRPr="008A7C79">
        <w:rPr>
          <w:rFonts w:cs="Arial"/>
          <w:spacing w:val="-1"/>
          <w:lang w:eastAsia="en-GB"/>
        </w:rPr>
        <w:t>t</w:t>
      </w:r>
      <w:r w:rsidRPr="008A7C79">
        <w:rPr>
          <w:rFonts w:cs="Arial"/>
          <w:lang w:eastAsia="en-GB"/>
        </w:rPr>
        <w:t>he</w:t>
      </w:r>
      <w:r w:rsidRPr="008A7C79">
        <w:rPr>
          <w:rFonts w:cs="Arial"/>
          <w:spacing w:val="10"/>
          <w:lang w:eastAsia="en-GB"/>
        </w:rPr>
        <w:t xml:space="preserve"> </w:t>
      </w:r>
      <w:r w:rsidRPr="008A7C79">
        <w:rPr>
          <w:rFonts w:cs="Arial"/>
          <w:lang w:eastAsia="en-GB"/>
        </w:rPr>
        <w:t>planning</w:t>
      </w:r>
      <w:r w:rsidRPr="008A7C79">
        <w:rPr>
          <w:rFonts w:cs="Arial"/>
          <w:spacing w:val="3"/>
          <w:lang w:eastAsia="en-GB"/>
        </w:rPr>
        <w:t xml:space="preserve"> </w:t>
      </w:r>
      <w:r w:rsidRPr="008A7C79">
        <w:rPr>
          <w:rFonts w:cs="Arial"/>
          <w:lang w:eastAsia="en-GB"/>
        </w:rPr>
        <w:t>system</w:t>
      </w:r>
      <w:r w:rsidRPr="008A7C79">
        <w:rPr>
          <w:rFonts w:cs="Arial"/>
          <w:spacing w:val="6"/>
          <w:lang w:eastAsia="en-GB"/>
        </w:rPr>
        <w:t xml:space="preserve"> </w:t>
      </w:r>
      <w:r w:rsidRPr="008A7C79">
        <w:rPr>
          <w:rFonts w:cs="Arial"/>
          <w:lang w:eastAsia="en-GB"/>
        </w:rPr>
        <w:t>depends</w:t>
      </w:r>
      <w:r w:rsidRPr="008A7C79">
        <w:rPr>
          <w:rFonts w:cs="Arial"/>
          <w:spacing w:val="13"/>
          <w:lang w:eastAsia="en-GB"/>
        </w:rPr>
        <w:t xml:space="preserve"> </w:t>
      </w:r>
      <w:r w:rsidRPr="008A7C79">
        <w:rPr>
          <w:rFonts w:cs="Arial"/>
          <w:lang w:eastAsia="en-GB"/>
        </w:rPr>
        <w:t>on</w:t>
      </w:r>
      <w:r w:rsidRPr="008A7C79">
        <w:rPr>
          <w:rFonts w:cs="Arial"/>
          <w:spacing w:val="10"/>
          <w:lang w:eastAsia="en-GB"/>
        </w:rPr>
        <w:t xml:space="preserve"> </w:t>
      </w:r>
      <w:r w:rsidRPr="008A7C79">
        <w:rPr>
          <w:rFonts w:cs="Arial"/>
          <w:lang w:eastAsia="en-GB"/>
        </w:rPr>
        <w:t>the</w:t>
      </w:r>
      <w:r w:rsidRPr="008A7C79">
        <w:rPr>
          <w:rFonts w:cs="Arial"/>
          <w:spacing w:val="-4"/>
          <w:lang w:eastAsia="en-GB"/>
        </w:rPr>
        <w:t xml:space="preserve"> </w:t>
      </w:r>
      <w:r w:rsidRPr="008A7C79">
        <w:rPr>
          <w:rFonts w:cs="Arial"/>
          <w:lang w:eastAsia="en-GB"/>
        </w:rPr>
        <w:t>readiness</w:t>
      </w:r>
      <w:r w:rsidRPr="008A7C79">
        <w:rPr>
          <w:rFonts w:cs="Arial"/>
          <w:spacing w:val="22"/>
          <w:lang w:eastAsia="en-GB"/>
        </w:rPr>
        <w:t xml:space="preserve"> </w:t>
      </w:r>
      <w:r w:rsidRPr="008A7C79">
        <w:rPr>
          <w:rFonts w:cs="Arial"/>
          <w:spacing w:val="-1"/>
          <w:lang w:eastAsia="en-GB"/>
        </w:rPr>
        <w:t>o</w:t>
      </w:r>
      <w:r w:rsidRPr="008A7C79">
        <w:rPr>
          <w:rFonts w:cs="Arial"/>
          <w:lang w:eastAsia="en-GB"/>
        </w:rPr>
        <w:t>f</w:t>
      </w:r>
      <w:r w:rsidRPr="008A7C79">
        <w:rPr>
          <w:rFonts w:cs="Arial"/>
          <w:spacing w:val="29"/>
          <w:lang w:eastAsia="en-GB"/>
        </w:rPr>
        <w:t xml:space="preserve"> </w:t>
      </w:r>
      <w:r w:rsidRPr="008A7C79">
        <w:rPr>
          <w:rFonts w:cs="Arial"/>
          <w:lang w:eastAsia="en-GB"/>
        </w:rPr>
        <w:t>Local</w:t>
      </w:r>
      <w:r w:rsidRPr="008A7C79">
        <w:rPr>
          <w:rFonts w:cs="Arial"/>
          <w:spacing w:val="26"/>
          <w:lang w:eastAsia="en-GB"/>
        </w:rPr>
        <w:t xml:space="preserve"> </w:t>
      </w:r>
      <w:r w:rsidRPr="008A7C79">
        <w:rPr>
          <w:rFonts w:cs="Arial"/>
          <w:lang w:eastAsia="en-GB"/>
        </w:rPr>
        <w:t>Planning</w:t>
      </w:r>
      <w:r w:rsidRPr="008A7C79">
        <w:rPr>
          <w:rFonts w:cs="Arial"/>
          <w:spacing w:val="23"/>
          <w:lang w:eastAsia="en-GB"/>
        </w:rPr>
        <w:t xml:space="preserve"> </w:t>
      </w:r>
      <w:r w:rsidRPr="008A7C79">
        <w:rPr>
          <w:rFonts w:cs="Arial"/>
          <w:lang w:eastAsia="en-GB"/>
        </w:rPr>
        <w:t xml:space="preserve">Authorities </w:t>
      </w:r>
      <w:r w:rsidRPr="008A7C79">
        <w:rPr>
          <w:rFonts w:cs="Arial"/>
          <w:w w:val="99"/>
          <w:lang w:eastAsia="en-GB"/>
        </w:rPr>
        <w:t>to</w:t>
      </w:r>
      <w:r w:rsidRPr="008A7C79">
        <w:rPr>
          <w:rFonts w:cs="Arial"/>
          <w:lang w:eastAsia="en-GB"/>
        </w:rPr>
        <w:t xml:space="preserve"> take</w:t>
      </w:r>
      <w:r w:rsidRPr="008A7C79">
        <w:rPr>
          <w:rFonts w:cs="Arial"/>
          <w:spacing w:val="-5"/>
          <w:lang w:eastAsia="en-GB"/>
        </w:rPr>
        <w:t xml:space="preserve"> </w:t>
      </w:r>
      <w:r w:rsidRPr="008A7C79">
        <w:rPr>
          <w:rFonts w:cs="Arial"/>
          <w:lang w:eastAsia="en-GB"/>
        </w:rPr>
        <w:t xml:space="preserve">effective </w:t>
      </w:r>
      <w:r w:rsidRPr="008A7C79">
        <w:rPr>
          <w:rFonts w:cs="Arial"/>
          <w:spacing w:val="-1"/>
          <w:lang w:eastAsia="en-GB"/>
        </w:rPr>
        <w:t>e</w:t>
      </w:r>
      <w:r w:rsidRPr="008A7C79">
        <w:rPr>
          <w:rFonts w:cs="Arial"/>
          <w:lang w:eastAsia="en-GB"/>
        </w:rPr>
        <w:t xml:space="preserve">nforcement action. </w:t>
      </w:r>
      <w:r w:rsidRPr="008A7C79">
        <w:rPr>
          <w:rFonts w:cs="Arial"/>
          <w:spacing w:val="-1"/>
          <w:lang w:eastAsia="en-GB"/>
        </w:rPr>
        <w:t>T</w:t>
      </w:r>
      <w:r w:rsidRPr="008A7C79">
        <w:rPr>
          <w:rFonts w:cs="Arial"/>
          <w:lang w:eastAsia="en-GB"/>
        </w:rPr>
        <w:t xml:space="preserve">he main </w:t>
      </w:r>
      <w:r w:rsidRPr="008A7C79">
        <w:rPr>
          <w:rFonts w:cs="Arial"/>
          <w:spacing w:val="-1"/>
          <w:lang w:eastAsia="en-GB"/>
        </w:rPr>
        <w:t>n</w:t>
      </w:r>
      <w:r w:rsidRPr="008A7C79">
        <w:rPr>
          <w:rFonts w:cs="Arial"/>
          <w:lang w:eastAsia="en-GB"/>
        </w:rPr>
        <w:t>ational o</w:t>
      </w:r>
      <w:r w:rsidRPr="008A7C79">
        <w:rPr>
          <w:rFonts w:cs="Arial"/>
          <w:spacing w:val="-1"/>
          <w:lang w:eastAsia="en-GB"/>
        </w:rPr>
        <w:t>b</w:t>
      </w:r>
      <w:r w:rsidRPr="008A7C79">
        <w:rPr>
          <w:rFonts w:cs="Arial"/>
          <w:lang w:eastAsia="en-GB"/>
        </w:rPr>
        <w:t>jectives of the</w:t>
      </w:r>
      <w:r w:rsidRPr="008A7C79">
        <w:rPr>
          <w:rFonts w:cs="Arial"/>
          <w:spacing w:val="-18"/>
          <w:lang w:eastAsia="en-GB"/>
        </w:rPr>
        <w:t xml:space="preserve"> </w:t>
      </w:r>
      <w:r w:rsidRPr="008A7C79">
        <w:rPr>
          <w:rFonts w:cs="Arial"/>
          <w:lang w:eastAsia="en-GB"/>
        </w:rPr>
        <w:t>planni</w:t>
      </w:r>
      <w:r w:rsidRPr="008A7C79">
        <w:rPr>
          <w:rFonts w:cs="Arial"/>
          <w:spacing w:val="-1"/>
          <w:lang w:eastAsia="en-GB"/>
        </w:rPr>
        <w:t>n</w:t>
      </w:r>
      <w:r w:rsidRPr="008A7C79">
        <w:rPr>
          <w:rFonts w:cs="Arial"/>
          <w:lang w:eastAsia="en-GB"/>
        </w:rPr>
        <w:t>g</w:t>
      </w:r>
      <w:r w:rsidRPr="008A7C79">
        <w:rPr>
          <w:rFonts w:cs="Arial"/>
          <w:spacing w:val="-9"/>
          <w:lang w:eastAsia="en-GB"/>
        </w:rPr>
        <w:t xml:space="preserve"> </w:t>
      </w:r>
      <w:r w:rsidRPr="008A7C79">
        <w:rPr>
          <w:rFonts w:cs="Arial"/>
          <w:lang w:eastAsia="en-GB"/>
        </w:rPr>
        <w:t>enforcement</w:t>
      </w:r>
      <w:r w:rsidRPr="008A7C79">
        <w:rPr>
          <w:rFonts w:cs="Arial"/>
          <w:spacing w:val="-12"/>
          <w:lang w:eastAsia="en-GB"/>
        </w:rPr>
        <w:t xml:space="preserve"> </w:t>
      </w:r>
      <w:r w:rsidRPr="008A7C79">
        <w:rPr>
          <w:rFonts w:cs="Arial"/>
          <w:lang w:eastAsia="en-GB"/>
        </w:rPr>
        <w:t>process</w:t>
      </w:r>
      <w:r w:rsidRPr="008A7C79">
        <w:rPr>
          <w:rFonts w:cs="Arial"/>
          <w:spacing w:val="-8"/>
          <w:lang w:eastAsia="en-GB"/>
        </w:rPr>
        <w:t xml:space="preserve"> </w:t>
      </w:r>
      <w:r w:rsidRPr="008A7C79">
        <w:rPr>
          <w:rFonts w:cs="Arial"/>
          <w:lang w:eastAsia="en-GB"/>
        </w:rPr>
        <w:t>ar</w:t>
      </w:r>
      <w:r w:rsidRPr="008A7C79">
        <w:rPr>
          <w:rFonts w:cs="Arial"/>
          <w:spacing w:val="-1"/>
          <w:lang w:eastAsia="en-GB"/>
        </w:rPr>
        <w:t>e</w:t>
      </w:r>
      <w:r w:rsidR="00FB520B" w:rsidRPr="008A7C79">
        <w:rPr>
          <w:rFonts w:cs="Arial"/>
          <w:spacing w:val="-1"/>
          <w:lang w:eastAsia="en-GB"/>
        </w:rPr>
        <w:t xml:space="preserve"> to</w:t>
      </w:r>
      <w:r w:rsidRPr="008A7C79">
        <w:rPr>
          <w:rFonts w:cs="Arial"/>
          <w:lang w:eastAsia="en-GB"/>
        </w:rPr>
        <w:t>:</w:t>
      </w:r>
    </w:p>
    <w:p w:rsidR="00FB520B" w:rsidRPr="00270313" w:rsidRDefault="00FB520B" w:rsidP="00270313">
      <w:pPr>
        <w:autoSpaceDE w:val="0"/>
        <w:autoSpaceDN w:val="0"/>
        <w:adjustRightInd w:val="0"/>
        <w:ind w:right="47"/>
        <w:rPr>
          <w:rFonts w:cs="Arial"/>
          <w:lang w:eastAsia="en-GB"/>
        </w:rPr>
      </w:pPr>
    </w:p>
    <w:p w:rsidR="00FB520B" w:rsidRPr="00270313" w:rsidRDefault="00FB520B" w:rsidP="00FF27D9">
      <w:pPr>
        <w:numPr>
          <w:ilvl w:val="0"/>
          <w:numId w:val="4"/>
        </w:numPr>
        <w:autoSpaceDE w:val="0"/>
        <w:autoSpaceDN w:val="0"/>
        <w:adjustRightInd w:val="0"/>
        <w:spacing w:before="19" w:line="260" w:lineRule="exact"/>
        <w:rPr>
          <w:rFonts w:cs="Arial"/>
          <w:lang w:eastAsia="en-GB"/>
        </w:rPr>
      </w:pPr>
      <w:r w:rsidRPr="00270313">
        <w:rPr>
          <w:rFonts w:cs="Arial"/>
          <w:lang w:eastAsia="en-GB"/>
        </w:rPr>
        <w:t>tackle breaches of planning control which would otherwise have unacceptable impact on the amenity of the area;</w:t>
      </w:r>
    </w:p>
    <w:p w:rsidR="00FB520B" w:rsidRPr="00270313" w:rsidRDefault="00FB520B" w:rsidP="00FF27D9">
      <w:pPr>
        <w:numPr>
          <w:ilvl w:val="0"/>
          <w:numId w:val="4"/>
        </w:numPr>
        <w:autoSpaceDE w:val="0"/>
        <w:autoSpaceDN w:val="0"/>
        <w:adjustRightInd w:val="0"/>
        <w:spacing w:before="19" w:line="260" w:lineRule="exact"/>
        <w:rPr>
          <w:rFonts w:cs="Arial"/>
          <w:lang w:eastAsia="en-GB"/>
        </w:rPr>
      </w:pPr>
      <w:r w:rsidRPr="00270313">
        <w:rPr>
          <w:rFonts w:cs="Arial"/>
          <w:lang w:eastAsia="en-GB"/>
        </w:rPr>
        <w:lastRenderedPageBreak/>
        <w:t>maintain the integrity of the decision-making process;</w:t>
      </w:r>
    </w:p>
    <w:p w:rsidR="00605C6B" w:rsidRPr="00270313" w:rsidRDefault="00FB520B" w:rsidP="00FF27D9">
      <w:pPr>
        <w:numPr>
          <w:ilvl w:val="0"/>
          <w:numId w:val="4"/>
        </w:numPr>
        <w:autoSpaceDE w:val="0"/>
        <w:autoSpaceDN w:val="0"/>
        <w:adjustRightInd w:val="0"/>
        <w:spacing w:before="19" w:line="260" w:lineRule="exact"/>
        <w:rPr>
          <w:rFonts w:cs="Arial"/>
          <w:lang w:eastAsia="en-GB"/>
        </w:rPr>
      </w:pPr>
      <w:proofErr w:type="gramStart"/>
      <w:r w:rsidRPr="00270313">
        <w:rPr>
          <w:rFonts w:cs="Arial"/>
          <w:lang w:eastAsia="en-GB"/>
        </w:rPr>
        <w:t>help</w:t>
      </w:r>
      <w:proofErr w:type="gramEnd"/>
      <w:r w:rsidRPr="00270313">
        <w:rPr>
          <w:rFonts w:cs="Arial"/>
          <w:lang w:eastAsia="en-GB"/>
        </w:rPr>
        <w:t xml:space="preserve"> ensure that public acceptance of the decision-making process is maintained.</w:t>
      </w:r>
    </w:p>
    <w:p w:rsidR="00605C6B" w:rsidRPr="00270313" w:rsidRDefault="00605C6B" w:rsidP="00270313">
      <w:pPr>
        <w:autoSpaceDE w:val="0"/>
        <w:autoSpaceDN w:val="0"/>
        <w:adjustRightInd w:val="0"/>
        <w:spacing w:before="16" w:line="260" w:lineRule="exact"/>
        <w:rPr>
          <w:rFonts w:cs="Arial"/>
          <w:lang w:eastAsia="en-GB"/>
        </w:rPr>
      </w:pPr>
    </w:p>
    <w:p w:rsidR="00971025" w:rsidRPr="00270313" w:rsidRDefault="00971025" w:rsidP="008A7C79">
      <w:pPr>
        <w:pStyle w:val="Default"/>
        <w:numPr>
          <w:ilvl w:val="0"/>
          <w:numId w:val="8"/>
        </w:numPr>
      </w:pPr>
      <w:r w:rsidRPr="00270313">
        <w:t xml:space="preserve">However, </w:t>
      </w:r>
      <w:r w:rsidR="00605C6B" w:rsidRPr="00270313">
        <w:t>Planning</w:t>
      </w:r>
      <w:r w:rsidR="00605C6B" w:rsidRPr="00270313">
        <w:rPr>
          <w:spacing w:val="38"/>
        </w:rPr>
        <w:t xml:space="preserve"> </w:t>
      </w:r>
      <w:r w:rsidR="00605C6B" w:rsidRPr="00270313">
        <w:t>compliance</w:t>
      </w:r>
      <w:r w:rsidR="00605C6B" w:rsidRPr="00270313">
        <w:rPr>
          <w:spacing w:val="35"/>
        </w:rPr>
        <w:t xml:space="preserve"> </w:t>
      </w:r>
      <w:r w:rsidR="00605C6B" w:rsidRPr="00270313">
        <w:t>and</w:t>
      </w:r>
      <w:r w:rsidR="00605C6B" w:rsidRPr="00270313">
        <w:rPr>
          <w:spacing w:val="42"/>
        </w:rPr>
        <w:t xml:space="preserve"> </w:t>
      </w:r>
      <w:r w:rsidR="00605C6B" w:rsidRPr="00270313">
        <w:t>enforcement</w:t>
      </w:r>
      <w:r w:rsidR="00605C6B" w:rsidRPr="00270313">
        <w:rPr>
          <w:spacing w:val="34"/>
        </w:rPr>
        <w:t xml:space="preserve"> </w:t>
      </w:r>
      <w:r w:rsidR="00605C6B" w:rsidRPr="00270313">
        <w:t>is</w:t>
      </w:r>
      <w:r w:rsidR="00605C6B" w:rsidRPr="00270313">
        <w:rPr>
          <w:spacing w:val="45"/>
        </w:rPr>
        <w:t xml:space="preserve"> </w:t>
      </w:r>
      <w:r w:rsidR="00605C6B" w:rsidRPr="00270313">
        <w:t>a</w:t>
      </w:r>
      <w:r w:rsidR="00605C6B" w:rsidRPr="00270313">
        <w:rPr>
          <w:spacing w:val="46"/>
        </w:rPr>
        <w:t xml:space="preserve"> </w:t>
      </w:r>
      <w:r w:rsidR="00605C6B" w:rsidRPr="00270313">
        <w:t>very</w:t>
      </w:r>
      <w:r w:rsidR="00605C6B" w:rsidRPr="00270313">
        <w:rPr>
          <w:spacing w:val="42"/>
        </w:rPr>
        <w:t xml:space="preserve"> </w:t>
      </w:r>
      <w:r w:rsidR="00605C6B" w:rsidRPr="00270313">
        <w:t>compl</w:t>
      </w:r>
      <w:r w:rsidR="00605C6B" w:rsidRPr="00270313">
        <w:rPr>
          <w:spacing w:val="2"/>
        </w:rPr>
        <w:t>e</w:t>
      </w:r>
      <w:r w:rsidR="00605C6B" w:rsidRPr="00270313">
        <w:t>x</w:t>
      </w:r>
      <w:r w:rsidR="00605C6B" w:rsidRPr="00270313">
        <w:rPr>
          <w:spacing w:val="38"/>
        </w:rPr>
        <w:t xml:space="preserve"> </w:t>
      </w:r>
      <w:r w:rsidR="00605C6B" w:rsidRPr="00270313">
        <w:t>area</w:t>
      </w:r>
      <w:r w:rsidR="00605C6B" w:rsidRPr="00270313">
        <w:rPr>
          <w:spacing w:val="42"/>
        </w:rPr>
        <w:t xml:space="preserve"> </w:t>
      </w:r>
      <w:r w:rsidR="00605C6B" w:rsidRPr="00270313">
        <w:t>of</w:t>
      </w:r>
      <w:r w:rsidR="00605C6B" w:rsidRPr="00270313">
        <w:rPr>
          <w:spacing w:val="45"/>
        </w:rPr>
        <w:t xml:space="preserve"> </w:t>
      </w:r>
      <w:r w:rsidR="00605C6B" w:rsidRPr="00270313">
        <w:t>planning</w:t>
      </w:r>
      <w:r w:rsidR="00605C6B" w:rsidRPr="00270313">
        <w:rPr>
          <w:spacing w:val="38"/>
        </w:rPr>
        <w:t xml:space="preserve"> </w:t>
      </w:r>
      <w:r w:rsidRPr="00270313">
        <w:t>law and carrying out development without planning consent is generally not a criminal offence (unless in relation to making changes</w:t>
      </w:r>
      <w:r w:rsidR="00F91FBA" w:rsidRPr="00270313">
        <w:t xml:space="preserve"> to</w:t>
      </w:r>
      <w:r w:rsidRPr="00270313">
        <w:t xml:space="preserve"> listed buildings</w:t>
      </w:r>
      <w:r w:rsidR="00767460">
        <w:t>, protected trees</w:t>
      </w:r>
      <w:r w:rsidRPr="00270313">
        <w:t xml:space="preserve"> and advertisements which operate under separate regimes). </w:t>
      </w:r>
    </w:p>
    <w:p w:rsidR="00FB520B" w:rsidRPr="00270313" w:rsidRDefault="00FB520B" w:rsidP="008A7C79">
      <w:pPr>
        <w:pStyle w:val="Default"/>
      </w:pPr>
    </w:p>
    <w:p w:rsidR="00270313" w:rsidRPr="00270313" w:rsidRDefault="00971025" w:rsidP="008A7C79">
      <w:pPr>
        <w:pStyle w:val="Default"/>
        <w:numPr>
          <w:ilvl w:val="0"/>
          <w:numId w:val="8"/>
        </w:numPr>
      </w:pPr>
      <w:r w:rsidRPr="00270313">
        <w:t xml:space="preserve">Enforcement action is discretionary </w:t>
      </w:r>
      <w:r w:rsidR="00270313" w:rsidRPr="00270313">
        <w:t xml:space="preserve">and this is an important aspect of planning enforcement. </w:t>
      </w:r>
      <w:r w:rsidR="00DA1091">
        <w:t>Just b</w:t>
      </w:r>
      <w:r w:rsidR="00270313" w:rsidRPr="00270313">
        <w:t>ecause something is a breach of planning control is not, in itself, a reason to take enforcement action</w:t>
      </w:r>
      <w:r w:rsidR="00767460">
        <w:t xml:space="preserve"> or to seek to punish the individual concerned</w:t>
      </w:r>
      <w:r w:rsidR="00270313" w:rsidRPr="00270313">
        <w:t>. Even when it is technically possible to take action the council is required by policies and legislation set by central Government, to first decide if such formal action would be “expedient”. Expediency is a test of whether the unauthorised activities are causing harm having regard to the Development Plan policies and other material planning considerations</w:t>
      </w:r>
      <w:r w:rsidR="00767460">
        <w:t xml:space="preserve"> such as amenity</w:t>
      </w:r>
      <w:r w:rsidR="00270313" w:rsidRPr="00270313">
        <w:t>.</w:t>
      </w:r>
    </w:p>
    <w:p w:rsidR="00270313" w:rsidRPr="00270313" w:rsidRDefault="00270313" w:rsidP="008A7C79">
      <w:pPr>
        <w:pStyle w:val="Default"/>
      </w:pPr>
    </w:p>
    <w:p w:rsidR="00270313" w:rsidRPr="00270313" w:rsidRDefault="00270313" w:rsidP="008A7C79">
      <w:pPr>
        <w:pStyle w:val="Default"/>
        <w:numPr>
          <w:ilvl w:val="0"/>
          <w:numId w:val="8"/>
        </w:numPr>
      </w:pPr>
      <w:r w:rsidRPr="00270313">
        <w:t>This means that formal enforcement action is discretionary and all the relevant planning circumstances of each case must first be considered. Central Government advice is that ordinarily formal action should be a last resort and that councils are expected to give those responsible the chance to put matters right before serving a formal notice. However, when the breach of planning control is causing unacceptable serious harm or nuisance to public amenity formal action will not be delayed by protracted negotiation. Enforcement action will therefore always be commensurate with the seriousness of the breach of planning control.</w:t>
      </w:r>
      <w:r w:rsidR="00767460">
        <w:t xml:space="preserve"> The enforcement regime also includes the right of appeal where enforcement notices are served and </w:t>
      </w:r>
      <w:r w:rsidR="00A51C02">
        <w:t>this can add time to the overall period that it can take to resolve even the most serious breaches of planning control.</w:t>
      </w:r>
    </w:p>
    <w:p w:rsidR="00971025" w:rsidRPr="00270313" w:rsidRDefault="00971025" w:rsidP="008A7C79">
      <w:pPr>
        <w:autoSpaceDE w:val="0"/>
        <w:autoSpaceDN w:val="0"/>
        <w:adjustRightInd w:val="0"/>
        <w:ind w:right="110"/>
        <w:rPr>
          <w:rFonts w:cs="Arial"/>
          <w:lang w:eastAsia="en-GB"/>
        </w:rPr>
      </w:pPr>
    </w:p>
    <w:p w:rsidR="00F91FBA" w:rsidRPr="008A7C79" w:rsidRDefault="00D70052" w:rsidP="008A7C79">
      <w:pPr>
        <w:pStyle w:val="ListParagraph"/>
        <w:numPr>
          <w:ilvl w:val="0"/>
          <w:numId w:val="8"/>
        </w:numPr>
        <w:autoSpaceDE w:val="0"/>
        <w:autoSpaceDN w:val="0"/>
        <w:adjustRightInd w:val="0"/>
        <w:ind w:right="110"/>
        <w:rPr>
          <w:rFonts w:cs="Arial"/>
          <w:lang w:eastAsia="en-GB"/>
        </w:rPr>
      </w:pPr>
      <w:r w:rsidRPr="008A7C79">
        <w:rPr>
          <w:rFonts w:cs="Arial"/>
          <w:lang w:eastAsia="en-GB"/>
        </w:rPr>
        <w:t xml:space="preserve">These factors have resulted in a </w:t>
      </w:r>
      <w:r w:rsidR="00C672A1" w:rsidRPr="008A7C79">
        <w:rPr>
          <w:rFonts w:cs="Arial"/>
          <w:lang w:eastAsia="en-GB"/>
        </w:rPr>
        <w:t xml:space="preserve">national </w:t>
      </w:r>
      <w:r w:rsidRPr="008A7C79">
        <w:rPr>
          <w:rFonts w:cs="Arial"/>
          <w:lang w:eastAsia="en-GB"/>
        </w:rPr>
        <w:t xml:space="preserve">planning enforcement regime that </w:t>
      </w:r>
      <w:r w:rsidR="00A51C02" w:rsidRPr="008A7C79">
        <w:rPr>
          <w:rFonts w:cs="Arial"/>
          <w:lang w:eastAsia="en-GB"/>
        </w:rPr>
        <w:t>is often slower to achieve results with formal action</w:t>
      </w:r>
      <w:r w:rsidRPr="008A7C79">
        <w:rPr>
          <w:rFonts w:cs="Arial"/>
          <w:lang w:eastAsia="en-GB"/>
        </w:rPr>
        <w:t xml:space="preserve"> than </w:t>
      </w:r>
      <w:r w:rsidR="0075175E" w:rsidRPr="008A7C79">
        <w:rPr>
          <w:rFonts w:cs="Arial"/>
          <w:lang w:eastAsia="en-GB"/>
        </w:rPr>
        <w:t xml:space="preserve">most </w:t>
      </w:r>
      <w:r w:rsidRPr="008A7C79">
        <w:rPr>
          <w:rFonts w:cs="Arial"/>
          <w:lang w:eastAsia="en-GB"/>
        </w:rPr>
        <w:t>other regulatory areas enforced by local authorities.</w:t>
      </w:r>
    </w:p>
    <w:p w:rsidR="00D70052" w:rsidRPr="00270313" w:rsidRDefault="00D70052" w:rsidP="00270313">
      <w:pPr>
        <w:autoSpaceDE w:val="0"/>
        <w:autoSpaceDN w:val="0"/>
        <w:adjustRightInd w:val="0"/>
        <w:ind w:right="110"/>
        <w:rPr>
          <w:rFonts w:cs="Arial"/>
          <w:lang w:eastAsia="en-GB"/>
        </w:rPr>
      </w:pPr>
    </w:p>
    <w:p w:rsidR="00D70052" w:rsidRPr="00DB6797" w:rsidRDefault="004F76F2" w:rsidP="00270313">
      <w:pPr>
        <w:autoSpaceDE w:val="0"/>
        <w:autoSpaceDN w:val="0"/>
        <w:adjustRightInd w:val="0"/>
        <w:ind w:right="110"/>
        <w:rPr>
          <w:rFonts w:cs="Arial"/>
          <w:b/>
          <w:lang w:eastAsia="en-GB"/>
        </w:rPr>
      </w:pPr>
      <w:r w:rsidRPr="00DB6797">
        <w:rPr>
          <w:rFonts w:cs="Arial"/>
          <w:b/>
          <w:lang w:eastAsia="en-GB"/>
        </w:rPr>
        <w:t>The position in Oxford</w:t>
      </w:r>
    </w:p>
    <w:p w:rsidR="004F76F2" w:rsidRPr="00270313" w:rsidRDefault="004F76F2" w:rsidP="00270313">
      <w:pPr>
        <w:autoSpaceDE w:val="0"/>
        <w:autoSpaceDN w:val="0"/>
        <w:adjustRightInd w:val="0"/>
        <w:ind w:right="110"/>
        <w:rPr>
          <w:rFonts w:cs="Arial"/>
          <w:lang w:eastAsia="en-GB"/>
        </w:rPr>
      </w:pPr>
    </w:p>
    <w:p w:rsidR="004F76F2" w:rsidRPr="008A7C79" w:rsidRDefault="0075175E" w:rsidP="008A7C79">
      <w:pPr>
        <w:pStyle w:val="ListParagraph"/>
        <w:numPr>
          <w:ilvl w:val="0"/>
          <w:numId w:val="8"/>
        </w:numPr>
        <w:autoSpaceDE w:val="0"/>
        <w:autoSpaceDN w:val="0"/>
        <w:adjustRightInd w:val="0"/>
        <w:ind w:right="110"/>
        <w:rPr>
          <w:rFonts w:cs="Arial"/>
          <w:lang w:eastAsia="en-GB"/>
        </w:rPr>
      </w:pPr>
      <w:r w:rsidRPr="008A7C79">
        <w:rPr>
          <w:rFonts w:cs="Arial"/>
          <w:lang w:eastAsia="en-GB"/>
        </w:rPr>
        <w:t xml:space="preserve">There are 2 FTE </w:t>
      </w:r>
      <w:r w:rsidR="00A51C02" w:rsidRPr="008A7C79">
        <w:rPr>
          <w:rFonts w:cs="Arial"/>
          <w:lang w:eastAsia="en-GB"/>
        </w:rPr>
        <w:t xml:space="preserve">officers </w:t>
      </w:r>
      <w:r w:rsidRPr="008A7C79">
        <w:rPr>
          <w:rFonts w:cs="Arial"/>
          <w:lang w:eastAsia="en-GB"/>
        </w:rPr>
        <w:t xml:space="preserve">carrying out </w:t>
      </w:r>
      <w:r w:rsidR="009F161C" w:rsidRPr="008A7C79">
        <w:rPr>
          <w:rFonts w:cs="Arial"/>
          <w:lang w:eastAsia="en-GB"/>
        </w:rPr>
        <w:t xml:space="preserve">purely </w:t>
      </w:r>
      <w:r w:rsidR="00A51C02" w:rsidRPr="008A7C79">
        <w:rPr>
          <w:rFonts w:cs="Arial"/>
          <w:lang w:eastAsia="en-GB"/>
        </w:rPr>
        <w:t xml:space="preserve">planning </w:t>
      </w:r>
      <w:r w:rsidRPr="008A7C79">
        <w:rPr>
          <w:rFonts w:cs="Arial"/>
          <w:lang w:eastAsia="en-GB"/>
        </w:rPr>
        <w:t xml:space="preserve">enforcement work. </w:t>
      </w:r>
    </w:p>
    <w:p w:rsidR="00DB6797" w:rsidRDefault="00DB6797" w:rsidP="008A7C79">
      <w:pPr>
        <w:autoSpaceDE w:val="0"/>
        <w:autoSpaceDN w:val="0"/>
        <w:adjustRightInd w:val="0"/>
        <w:ind w:right="110"/>
        <w:rPr>
          <w:rFonts w:cs="Arial"/>
          <w:lang w:eastAsia="en-GB"/>
        </w:rPr>
      </w:pPr>
    </w:p>
    <w:p w:rsidR="009820EA" w:rsidRPr="008A7C79" w:rsidRDefault="00CB45CA" w:rsidP="008A7C79">
      <w:pPr>
        <w:pStyle w:val="ListParagraph"/>
        <w:numPr>
          <w:ilvl w:val="0"/>
          <w:numId w:val="8"/>
        </w:numPr>
        <w:autoSpaceDE w:val="0"/>
        <w:autoSpaceDN w:val="0"/>
        <w:adjustRightInd w:val="0"/>
        <w:ind w:right="110"/>
        <w:rPr>
          <w:rFonts w:cs="Arial"/>
          <w:lang w:eastAsia="en-GB"/>
        </w:rPr>
      </w:pPr>
      <w:r w:rsidRPr="008A7C79">
        <w:rPr>
          <w:rFonts w:cs="Arial"/>
          <w:lang w:eastAsia="en-GB"/>
        </w:rPr>
        <w:t>Due to the resource levels t</w:t>
      </w:r>
      <w:r w:rsidR="00DB6797" w:rsidRPr="008A7C79">
        <w:rPr>
          <w:rFonts w:cs="Arial"/>
          <w:lang w:eastAsia="en-GB"/>
        </w:rPr>
        <w:t xml:space="preserve">he </w:t>
      </w:r>
      <w:r w:rsidR="00A51C02" w:rsidRPr="008A7C79">
        <w:rPr>
          <w:rFonts w:cs="Arial"/>
          <w:lang w:eastAsia="en-GB"/>
        </w:rPr>
        <w:t xml:space="preserve">planning enforcement </w:t>
      </w:r>
      <w:r w:rsidR="00DB6797" w:rsidRPr="008A7C79">
        <w:rPr>
          <w:rFonts w:cs="Arial"/>
          <w:lang w:eastAsia="en-GB"/>
        </w:rPr>
        <w:t xml:space="preserve">service is primarily reactive and </w:t>
      </w:r>
      <w:r w:rsidR="00965260" w:rsidRPr="008A7C79">
        <w:rPr>
          <w:rFonts w:cs="Arial"/>
          <w:lang w:eastAsia="en-GB"/>
        </w:rPr>
        <w:t>t</w:t>
      </w:r>
      <w:r w:rsidR="00C672A1" w:rsidRPr="008A7C79">
        <w:rPr>
          <w:rFonts w:cs="Arial"/>
          <w:lang w:eastAsia="en-GB"/>
        </w:rPr>
        <w:t>he main proactive work in recent years has been with regard to Unlawful Developments</w:t>
      </w:r>
      <w:r w:rsidR="00965260" w:rsidRPr="008A7C79">
        <w:rPr>
          <w:rFonts w:cs="Arial"/>
          <w:lang w:eastAsia="en-GB"/>
        </w:rPr>
        <w:t>,</w:t>
      </w:r>
      <w:r w:rsidR="00C672A1" w:rsidRPr="008A7C79">
        <w:rPr>
          <w:rFonts w:cs="Arial"/>
          <w:lang w:eastAsia="en-GB"/>
        </w:rPr>
        <w:t xml:space="preserve"> where funding from DCLG resulted in a significant amount of proactive visits taking place and elevated levels of enforcement action</w:t>
      </w:r>
      <w:r w:rsidRPr="008A7C79">
        <w:rPr>
          <w:rFonts w:cs="Arial"/>
          <w:lang w:eastAsia="en-GB"/>
        </w:rPr>
        <w:t xml:space="preserve">. </w:t>
      </w:r>
    </w:p>
    <w:p w:rsidR="00965260" w:rsidRPr="00270313" w:rsidRDefault="00965260" w:rsidP="008A7C79">
      <w:pPr>
        <w:autoSpaceDE w:val="0"/>
        <w:autoSpaceDN w:val="0"/>
        <w:adjustRightInd w:val="0"/>
        <w:ind w:right="110"/>
        <w:rPr>
          <w:rFonts w:cs="Arial"/>
          <w:lang w:eastAsia="en-GB"/>
        </w:rPr>
      </w:pPr>
    </w:p>
    <w:p w:rsidR="00270313" w:rsidRPr="008A7C79" w:rsidRDefault="00270313" w:rsidP="008A7C79">
      <w:pPr>
        <w:pStyle w:val="ListParagraph"/>
        <w:numPr>
          <w:ilvl w:val="0"/>
          <w:numId w:val="8"/>
        </w:numPr>
        <w:autoSpaceDE w:val="0"/>
        <w:autoSpaceDN w:val="0"/>
        <w:adjustRightInd w:val="0"/>
        <w:ind w:right="110"/>
        <w:rPr>
          <w:rFonts w:cs="Arial"/>
          <w:color w:val="231F20"/>
          <w:spacing w:val="-1"/>
          <w:lang w:eastAsia="en-GB"/>
        </w:rPr>
      </w:pPr>
      <w:r w:rsidRPr="008A7C79">
        <w:rPr>
          <w:rFonts w:cs="Arial"/>
          <w:color w:val="231F20"/>
          <w:lang w:eastAsia="en-GB"/>
        </w:rPr>
        <w:t>The</w:t>
      </w:r>
      <w:r w:rsidRPr="008A7C79">
        <w:rPr>
          <w:rFonts w:cs="Arial"/>
          <w:color w:val="231F20"/>
          <w:spacing w:val="-1"/>
          <w:lang w:eastAsia="en-GB"/>
        </w:rPr>
        <w:t xml:space="preserve"> number of </w:t>
      </w:r>
      <w:r w:rsidR="00DB6797" w:rsidRPr="008A7C79">
        <w:rPr>
          <w:rFonts w:cs="Arial"/>
          <w:color w:val="231F20"/>
          <w:spacing w:val="-1"/>
          <w:lang w:eastAsia="en-GB"/>
        </w:rPr>
        <w:t>c</w:t>
      </w:r>
      <w:r w:rsidR="00C672A1" w:rsidRPr="008A7C79">
        <w:rPr>
          <w:rFonts w:cs="Arial"/>
          <w:color w:val="231F20"/>
          <w:spacing w:val="-1"/>
          <w:lang w:eastAsia="en-GB"/>
        </w:rPr>
        <w:t>omplaints</w:t>
      </w:r>
      <w:r w:rsidRPr="008A7C79">
        <w:rPr>
          <w:rFonts w:cs="Arial"/>
          <w:color w:val="231F20"/>
          <w:spacing w:val="-1"/>
          <w:lang w:eastAsia="en-GB"/>
        </w:rPr>
        <w:t xml:space="preserve"> dealt with by the Planning Enforcement Service </w:t>
      </w:r>
      <w:r w:rsidR="00DD5609" w:rsidRPr="008A7C79">
        <w:rPr>
          <w:rFonts w:cs="Arial"/>
          <w:color w:val="231F20"/>
          <w:spacing w:val="-1"/>
          <w:lang w:eastAsia="en-GB"/>
        </w:rPr>
        <w:t xml:space="preserve">over the last 6 years </w:t>
      </w:r>
      <w:r w:rsidRPr="008A7C79">
        <w:rPr>
          <w:rFonts w:cs="Arial"/>
          <w:color w:val="231F20"/>
          <w:spacing w:val="-1"/>
          <w:lang w:eastAsia="en-GB"/>
        </w:rPr>
        <w:t xml:space="preserve">is provided </w:t>
      </w:r>
      <w:r w:rsidR="00C672A1" w:rsidRPr="008A7C79">
        <w:rPr>
          <w:rFonts w:cs="Arial"/>
          <w:color w:val="231F20"/>
          <w:spacing w:val="-1"/>
          <w:lang w:eastAsia="en-GB"/>
        </w:rPr>
        <w:t xml:space="preserve">in the table </w:t>
      </w:r>
      <w:r w:rsidRPr="008A7C79">
        <w:rPr>
          <w:rFonts w:cs="Arial"/>
          <w:color w:val="231F20"/>
          <w:spacing w:val="-1"/>
          <w:lang w:eastAsia="en-GB"/>
        </w:rPr>
        <w:t>below</w:t>
      </w:r>
      <w:r w:rsidR="00C672A1" w:rsidRPr="008A7C79">
        <w:rPr>
          <w:rFonts w:cs="Arial"/>
          <w:color w:val="231F20"/>
          <w:spacing w:val="-1"/>
          <w:lang w:eastAsia="en-GB"/>
        </w:rPr>
        <w:t>. The 25% drop in complaints in 2015/16 has occurred because</w:t>
      </w:r>
      <w:r w:rsidR="00CB45CA" w:rsidRPr="008A7C79">
        <w:rPr>
          <w:rFonts w:cs="Arial"/>
          <w:color w:val="231F20"/>
          <w:spacing w:val="-1"/>
          <w:lang w:eastAsia="en-GB"/>
        </w:rPr>
        <w:t xml:space="preserve"> there has been a change in the way that cases are recorded.</w:t>
      </w:r>
      <w:r w:rsidR="00C672A1" w:rsidRPr="008A7C79">
        <w:rPr>
          <w:rFonts w:cs="Arial"/>
          <w:color w:val="231F20"/>
          <w:spacing w:val="-1"/>
          <w:lang w:eastAsia="en-GB"/>
        </w:rPr>
        <w:t xml:space="preserve"> </w:t>
      </w:r>
    </w:p>
    <w:p w:rsidR="00270313" w:rsidRPr="00270313" w:rsidRDefault="00270313" w:rsidP="00270313">
      <w:pPr>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17"/>
        <w:gridCol w:w="1217"/>
        <w:gridCol w:w="1217"/>
        <w:gridCol w:w="1218"/>
        <w:gridCol w:w="1218"/>
        <w:gridCol w:w="1218"/>
      </w:tblGrid>
      <w:tr w:rsidR="00270313" w:rsidRPr="00270313" w:rsidTr="0012342A">
        <w:tc>
          <w:tcPr>
            <w:tcW w:w="1217" w:type="dxa"/>
            <w:shd w:val="clear" w:color="auto" w:fill="auto"/>
          </w:tcPr>
          <w:p w:rsidR="00270313" w:rsidRPr="00270313" w:rsidRDefault="00270313" w:rsidP="00270313">
            <w:pPr>
              <w:rPr>
                <w:rFonts w:cs="Arial"/>
              </w:rPr>
            </w:pPr>
          </w:p>
        </w:tc>
        <w:tc>
          <w:tcPr>
            <w:tcW w:w="1217" w:type="dxa"/>
            <w:shd w:val="clear" w:color="auto" w:fill="auto"/>
          </w:tcPr>
          <w:p w:rsidR="00270313" w:rsidRPr="00270313" w:rsidRDefault="00270313" w:rsidP="00270313">
            <w:pPr>
              <w:rPr>
                <w:rFonts w:cs="Arial"/>
              </w:rPr>
            </w:pPr>
            <w:r w:rsidRPr="00270313">
              <w:rPr>
                <w:rFonts w:cs="Arial"/>
              </w:rPr>
              <w:t>2010/11</w:t>
            </w:r>
          </w:p>
        </w:tc>
        <w:tc>
          <w:tcPr>
            <w:tcW w:w="1217" w:type="dxa"/>
            <w:shd w:val="clear" w:color="auto" w:fill="auto"/>
          </w:tcPr>
          <w:p w:rsidR="00270313" w:rsidRPr="00270313" w:rsidRDefault="00270313" w:rsidP="00270313">
            <w:pPr>
              <w:rPr>
                <w:rFonts w:cs="Arial"/>
              </w:rPr>
            </w:pPr>
            <w:r w:rsidRPr="00270313">
              <w:rPr>
                <w:rFonts w:cs="Arial"/>
              </w:rPr>
              <w:t>2011/12</w:t>
            </w:r>
          </w:p>
        </w:tc>
        <w:tc>
          <w:tcPr>
            <w:tcW w:w="1217" w:type="dxa"/>
            <w:shd w:val="clear" w:color="auto" w:fill="auto"/>
          </w:tcPr>
          <w:p w:rsidR="00270313" w:rsidRPr="00270313" w:rsidRDefault="00270313" w:rsidP="00270313">
            <w:pPr>
              <w:rPr>
                <w:rFonts w:cs="Arial"/>
              </w:rPr>
            </w:pPr>
            <w:r w:rsidRPr="00270313">
              <w:rPr>
                <w:rFonts w:cs="Arial"/>
              </w:rPr>
              <w:t>2012/13</w:t>
            </w:r>
          </w:p>
        </w:tc>
        <w:tc>
          <w:tcPr>
            <w:tcW w:w="1218" w:type="dxa"/>
            <w:shd w:val="clear" w:color="auto" w:fill="auto"/>
          </w:tcPr>
          <w:p w:rsidR="00270313" w:rsidRPr="00270313" w:rsidRDefault="00270313" w:rsidP="00270313">
            <w:pPr>
              <w:rPr>
                <w:rFonts w:cs="Arial"/>
              </w:rPr>
            </w:pPr>
            <w:r w:rsidRPr="00270313">
              <w:rPr>
                <w:rFonts w:cs="Arial"/>
              </w:rPr>
              <w:t>2013/14</w:t>
            </w:r>
          </w:p>
        </w:tc>
        <w:tc>
          <w:tcPr>
            <w:tcW w:w="1218" w:type="dxa"/>
            <w:shd w:val="clear" w:color="auto" w:fill="auto"/>
          </w:tcPr>
          <w:p w:rsidR="00270313" w:rsidRPr="00270313" w:rsidRDefault="00270313" w:rsidP="00270313">
            <w:pPr>
              <w:rPr>
                <w:rFonts w:cs="Arial"/>
              </w:rPr>
            </w:pPr>
            <w:r w:rsidRPr="00270313">
              <w:rPr>
                <w:rFonts w:cs="Arial"/>
              </w:rPr>
              <w:t>2014/15</w:t>
            </w:r>
          </w:p>
        </w:tc>
        <w:tc>
          <w:tcPr>
            <w:tcW w:w="1218" w:type="dxa"/>
            <w:shd w:val="clear" w:color="auto" w:fill="auto"/>
          </w:tcPr>
          <w:p w:rsidR="00270313" w:rsidRPr="00270313" w:rsidRDefault="00270313" w:rsidP="00270313">
            <w:pPr>
              <w:rPr>
                <w:rFonts w:cs="Arial"/>
              </w:rPr>
            </w:pPr>
            <w:r w:rsidRPr="00270313">
              <w:rPr>
                <w:rFonts w:cs="Arial"/>
              </w:rPr>
              <w:t>2015/16</w:t>
            </w:r>
          </w:p>
        </w:tc>
      </w:tr>
      <w:tr w:rsidR="00270313" w:rsidRPr="00270313" w:rsidTr="0012342A">
        <w:tc>
          <w:tcPr>
            <w:tcW w:w="1217" w:type="dxa"/>
            <w:shd w:val="clear" w:color="auto" w:fill="auto"/>
          </w:tcPr>
          <w:p w:rsidR="00270313" w:rsidRPr="00270313" w:rsidRDefault="00270313" w:rsidP="00270313">
            <w:pPr>
              <w:rPr>
                <w:rFonts w:cs="Arial"/>
              </w:rPr>
            </w:pPr>
            <w:r w:rsidRPr="00270313">
              <w:rPr>
                <w:rFonts w:cs="Arial"/>
              </w:rPr>
              <w:t>Cases</w:t>
            </w:r>
          </w:p>
        </w:tc>
        <w:tc>
          <w:tcPr>
            <w:tcW w:w="1217" w:type="dxa"/>
            <w:shd w:val="clear" w:color="auto" w:fill="auto"/>
          </w:tcPr>
          <w:p w:rsidR="00270313" w:rsidRPr="00270313" w:rsidRDefault="00270313" w:rsidP="00270313">
            <w:pPr>
              <w:rPr>
                <w:rFonts w:cs="Arial"/>
              </w:rPr>
            </w:pPr>
            <w:r w:rsidRPr="00270313">
              <w:rPr>
                <w:rFonts w:cs="Arial"/>
              </w:rPr>
              <w:t>673</w:t>
            </w:r>
          </w:p>
        </w:tc>
        <w:tc>
          <w:tcPr>
            <w:tcW w:w="1217" w:type="dxa"/>
            <w:shd w:val="clear" w:color="auto" w:fill="auto"/>
          </w:tcPr>
          <w:p w:rsidR="00270313" w:rsidRPr="00270313" w:rsidRDefault="00270313" w:rsidP="00270313">
            <w:pPr>
              <w:rPr>
                <w:rFonts w:cs="Arial"/>
              </w:rPr>
            </w:pPr>
            <w:r w:rsidRPr="00270313">
              <w:rPr>
                <w:rFonts w:cs="Arial"/>
              </w:rPr>
              <w:t>659</w:t>
            </w:r>
          </w:p>
        </w:tc>
        <w:tc>
          <w:tcPr>
            <w:tcW w:w="1217" w:type="dxa"/>
            <w:shd w:val="clear" w:color="auto" w:fill="auto"/>
          </w:tcPr>
          <w:p w:rsidR="00270313" w:rsidRPr="00270313" w:rsidRDefault="00270313" w:rsidP="00270313">
            <w:pPr>
              <w:rPr>
                <w:rFonts w:cs="Arial"/>
              </w:rPr>
            </w:pPr>
            <w:r w:rsidRPr="00270313">
              <w:rPr>
                <w:rFonts w:cs="Arial"/>
              </w:rPr>
              <w:t>639</w:t>
            </w:r>
          </w:p>
        </w:tc>
        <w:tc>
          <w:tcPr>
            <w:tcW w:w="1218" w:type="dxa"/>
            <w:shd w:val="clear" w:color="auto" w:fill="auto"/>
          </w:tcPr>
          <w:p w:rsidR="00270313" w:rsidRPr="00270313" w:rsidRDefault="00270313" w:rsidP="00270313">
            <w:pPr>
              <w:rPr>
                <w:rFonts w:cs="Arial"/>
              </w:rPr>
            </w:pPr>
            <w:r w:rsidRPr="00270313">
              <w:rPr>
                <w:rFonts w:cs="Arial"/>
              </w:rPr>
              <w:t>685</w:t>
            </w:r>
          </w:p>
        </w:tc>
        <w:tc>
          <w:tcPr>
            <w:tcW w:w="1218" w:type="dxa"/>
            <w:shd w:val="clear" w:color="auto" w:fill="auto"/>
          </w:tcPr>
          <w:p w:rsidR="00270313" w:rsidRPr="00270313" w:rsidRDefault="00270313" w:rsidP="00270313">
            <w:pPr>
              <w:rPr>
                <w:rFonts w:cs="Arial"/>
              </w:rPr>
            </w:pPr>
            <w:r w:rsidRPr="00270313">
              <w:rPr>
                <w:rFonts w:cs="Arial"/>
              </w:rPr>
              <w:t>610</w:t>
            </w:r>
          </w:p>
        </w:tc>
        <w:tc>
          <w:tcPr>
            <w:tcW w:w="1218" w:type="dxa"/>
            <w:shd w:val="clear" w:color="auto" w:fill="auto"/>
          </w:tcPr>
          <w:p w:rsidR="00270313" w:rsidRPr="00270313" w:rsidRDefault="00270313" w:rsidP="00270313">
            <w:pPr>
              <w:rPr>
                <w:rFonts w:cs="Arial"/>
              </w:rPr>
            </w:pPr>
            <w:r w:rsidRPr="00270313">
              <w:rPr>
                <w:rFonts w:cs="Arial"/>
              </w:rPr>
              <w:t>465</w:t>
            </w:r>
          </w:p>
        </w:tc>
      </w:tr>
    </w:tbl>
    <w:p w:rsidR="00270313" w:rsidRPr="00270313" w:rsidRDefault="00270313" w:rsidP="00270313">
      <w:pPr>
        <w:rPr>
          <w:rFonts w:cs="Arial"/>
        </w:rPr>
      </w:pPr>
    </w:p>
    <w:p w:rsidR="00270313" w:rsidRPr="008A7C79" w:rsidRDefault="00270313" w:rsidP="008A7C79">
      <w:pPr>
        <w:pStyle w:val="ListParagraph"/>
        <w:numPr>
          <w:ilvl w:val="0"/>
          <w:numId w:val="8"/>
        </w:numPr>
        <w:autoSpaceDE w:val="0"/>
        <w:autoSpaceDN w:val="0"/>
        <w:adjustRightInd w:val="0"/>
        <w:ind w:right="46"/>
        <w:rPr>
          <w:rFonts w:cs="Arial"/>
          <w:color w:val="000000"/>
          <w:lang w:eastAsia="en-GB"/>
        </w:rPr>
      </w:pPr>
      <w:r w:rsidRPr="008A7C79">
        <w:rPr>
          <w:rFonts w:cs="Arial"/>
          <w:color w:val="231F20"/>
          <w:lang w:eastAsia="en-GB"/>
        </w:rPr>
        <w:t>Cases</w:t>
      </w:r>
      <w:r w:rsidRPr="008A7C79">
        <w:rPr>
          <w:rFonts w:cs="Arial"/>
          <w:color w:val="231F20"/>
          <w:spacing w:val="23"/>
          <w:lang w:eastAsia="en-GB"/>
        </w:rPr>
        <w:t xml:space="preserve"> </w:t>
      </w:r>
      <w:r w:rsidRPr="008A7C79">
        <w:rPr>
          <w:rFonts w:cs="Arial"/>
          <w:color w:val="231F20"/>
          <w:lang w:eastAsia="en-GB"/>
        </w:rPr>
        <w:t>reported</w:t>
      </w:r>
      <w:r w:rsidRPr="008A7C79">
        <w:rPr>
          <w:rFonts w:cs="Arial"/>
          <w:color w:val="231F20"/>
          <w:spacing w:val="21"/>
          <w:lang w:eastAsia="en-GB"/>
        </w:rPr>
        <w:t xml:space="preserve"> </w:t>
      </w:r>
      <w:r w:rsidRPr="008A7C79">
        <w:rPr>
          <w:rFonts w:cs="Arial"/>
          <w:color w:val="231F20"/>
          <w:lang w:eastAsia="en-GB"/>
        </w:rPr>
        <w:t>m</w:t>
      </w:r>
      <w:r w:rsidRPr="008A7C79">
        <w:rPr>
          <w:rFonts w:cs="Arial"/>
          <w:color w:val="231F20"/>
          <w:spacing w:val="1"/>
          <w:lang w:eastAsia="en-GB"/>
        </w:rPr>
        <w:t>a</w:t>
      </w:r>
      <w:r w:rsidRPr="008A7C79">
        <w:rPr>
          <w:rFonts w:cs="Arial"/>
          <w:color w:val="231F20"/>
          <w:lang w:eastAsia="en-GB"/>
        </w:rPr>
        <w:t>y</w:t>
      </w:r>
      <w:r w:rsidRPr="008A7C79">
        <w:rPr>
          <w:rFonts w:cs="Arial"/>
          <w:color w:val="231F20"/>
          <w:spacing w:val="25"/>
          <w:lang w:eastAsia="en-GB"/>
        </w:rPr>
        <w:t xml:space="preserve"> </w:t>
      </w:r>
      <w:r w:rsidRPr="008A7C79">
        <w:rPr>
          <w:rFonts w:cs="Arial"/>
          <w:color w:val="231F20"/>
          <w:lang w:eastAsia="en-GB"/>
        </w:rPr>
        <w:t>or</w:t>
      </w:r>
      <w:r w:rsidRPr="008A7C79">
        <w:rPr>
          <w:rFonts w:cs="Arial"/>
          <w:color w:val="231F20"/>
          <w:spacing w:val="28"/>
          <w:lang w:eastAsia="en-GB"/>
        </w:rPr>
        <w:t xml:space="preserve"> </w:t>
      </w:r>
      <w:r w:rsidRPr="008A7C79">
        <w:rPr>
          <w:rFonts w:cs="Arial"/>
          <w:color w:val="231F20"/>
          <w:lang w:eastAsia="en-GB"/>
        </w:rPr>
        <w:t>may</w:t>
      </w:r>
      <w:r w:rsidRPr="008A7C79">
        <w:rPr>
          <w:rFonts w:cs="Arial"/>
          <w:color w:val="231F20"/>
          <w:spacing w:val="25"/>
          <w:lang w:eastAsia="en-GB"/>
        </w:rPr>
        <w:t xml:space="preserve"> </w:t>
      </w:r>
      <w:r w:rsidRPr="008A7C79">
        <w:rPr>
          <w:rFonts w:cs="Arial"/>
          <w:color w:val="231F20"/>
          <w:lang w:eastAsia="en-GB"/>
        </w:rPr>
        <w:t>not</w:t>
      </w:r>
      <w:r w:rsidRPr="008A7C79">
        <w:rPr>
          <w:rFonts w:cs="Arial"/>
          <w:color w:val="231F20"/>
          <w:spacing w:val="26"/>
          <w:lang w:eastAsia="en-GB"/>
        </w:rPr>
        <w:t xml:space="preserve"> </w:t>
      </w:r>
      <w:r w:rsidRPr="008A7C79">
        <w:rPr>
          <w:rFonts w:cs="Arial"/>
          <w:color w:val="231F20"/>
          <w:lang w:eastAsia="en-GB"/>
        </w:rPr>
        <w:t>re</w:t>
      </w:r>
      <w:r w:rsidRPr="008A7C79">
        <w:rPr>
          <w:rFonts w:cs="Arial"/>
          <w:color w:val="231F20"/>
          <w:spacing w:val="1"/>
          <w:lang w:eastAsia="en-GB"/>
        </w:rPr>
        <w:t>q</w:t>
      </w:r>
      <w:r w:rsidRPr="008A7C79">
        <w:rPr>
          <w:rFonts w:cs="Arial"/>
          <w:color w:val="231F20"/>
          <w:lang w:eastAsia="en-GB"/>
        </w:rPr>
        <w:t>uire</w:t>
      </w:r>
      <w:r w:rsidRPr="008A7C79">
        <w:rPr>
          <w:rFonts w:cs="Arial"/>
          <w:color w:val="231F20"/>
          <w:spacing w:val="22"/>
          <w:lang w:eastAsia="en-GB"/>
        </w:rPr>
        <w:t xml:space="preserve"> </w:t>
      </w:r>
      <w:r w:rsidRPr="008A7C79">
        <w:rPr>
          <w:rFonts w:cs="Arial"/>
          <w:color w:val="231F20"/>
          <w:lang w:eastAsia="en-GB"/>
        </w:rPr>
        <w:t>a</w:t>
      </w:r>
      <w:r w:rsidRPr="008A7C79">
        <w:rPr>
          <w:rFonts w:cs="Arial"/>
          <w:color w:val="231F20"/>
          <w:spacing w:val="28"/>
          <w:lang w:eastAsia="en-GB"/>
        </w:rPr>
        <w:t xml:space="preserve"> </w:t>
      </w:r>
      <w:r w:rsidRPr="008A7C79">
        <w:rPr>
          <w:rFonts w:cs="Arial"/>
          <w:color w:val="231F20"/>
          <w:lang w:eastAsia="en-GB"/>
        </w:rPr>
        <w:t>site</w:t>
      </w:r>
      <w:r w:rsidRPr="008A7C79">
        <w:rPr>
          <w:rFonts w:cs="Arial"/>
          <w:color w:val="231F20"/>
          <w:spacing w:val="26"/>
          <w:lang w:eastAsia="en-GB"/>
        </w:rPr>
        <w:t xml:space="preserve"> </w:t>
      </w:r>
      <w:r w:rsidRPr="008A7C79">
        <w:rPr>
          <w:rFonts w:cs="Arial"/>
          <w:color w:val="231F20"/>
          <w:lang w:eastAsia="en-GB"/>
        </w:rPr>
        <w:t>inspection</w:t>
      </w:r>
      <w:r w:rsidRPr="008A7C79">
        <w:rPr>
          <w:rFonts w:cs="Arial"/>
          <w:color w:val="231F20"/>
          <w:spacing w:val="19"/>
          <w:lang w:eastAsia="en-GB"/>
        </w:rPr>
        <w:t xml:space="preserve"> </w:t>
      </w:r>
      <w:r w:rsidRPr="008A7C79">
        <w:rPr>
          <w:rFonts w:cs="Arial"/>
          <w:color w:val="231F20"/>
          <w:spacing w:val="-1"/>
          <w:lang w:eastAsia="en-GB"/>
        </w:rPr>
        <w:t>a</w:t>
      </w:r>
      <w:r w:rsidRPr="008A7C79">
        <w:rPr>
          <w:rFonts w:cs="Arial"/>
          <w:color w:val="231F20"/>
          <w:lang w:eastAsia="en-GB"/>
        </w:rPr>
        <w:t>nd</w:t>
      </w:r>
      <w:r w:rsidRPr="008A7C79">
        <w:rPr>
          <w:rFonts w:cs="Arial"/>
          <w:color w:val="231F20"/>
          <w:spacing w:val="25"/>
          <w:lang w:eastAsia="en-GB"/>
        </w:rPr>
        <w:t xml:space="preserve"> </w:t>
      </w:r>
      <w:r w:rsidRPr="008A7C79">
        <w:rPr>
          <w:rFonts w:cs="Arial"/>
          <w:color w:val="231F20"/>
          <w:lang w:eastAsia="en-GB"/>
        </w:rPr>
        <w:t>m</w:t>
      </w:r>
      <w:r w:rsidRPr="008A7C79">
        <w:rPr>
          <w:rFonts w:cs="Arial"/>
          <w:color w:val="231F20"/>
          <w:spacing w:val="1"/>
          <w:lang w:eastAsia="en-GB"/>
        </w:rPr>
        <w:t>a</w:t>
      </w:r>
      <w:r w:rsidRPr="008A7C79">
        <w:rPr>
          <w:rFonts w:cs="Arial"/>
          <w:color w:val="231F20"/>
          <w:lang w:eastAsia="en-GB"/>
        </w:rPr>
        <w:t>y</w:t>
      </w:r>
      <w:r w:rsidRPr="008A7C79">
        <w:rPr>
          <w:rFonts w:cs="Arial"/>
          <w:color w:val="231F20"/>
          <w:spacing w:val="25"/>
          <w:lang w:eastAsia="en-GB"/>
        </w:rPr>
        <w:t xml:space="preserve"> </w:t>
      </w:r>
      <w:r w:rsidRPr="008A7C79">
        <w:rPr>
          <w:rFonts w:cs="Arial"/>
          <w:color w:val="231F20"/>
          <w:lang w:eastAsia="en-GB"/>
        </w:rPr>
        <w:t>be</w:t>
      </w:r>
      <w:r w:rsidRPr="008A7C79">
        <w:rPr>
          <w:rFonts w:cs="Arial"/>
          <w:color w:val="231F20"/>
          <w:spacing w:val="28"/>
          <w:lang w:eastAsia="en-GB"/>
        </w:rPr>
        <w:t xml:space="preserve"> </w:t>
      </w:r>
      <w:r w:rsidRPr="008A7C79">
        <w:rPr>
          <w:rFonts w:cs="Arial"/>
          <w:color w:val="231F20"/>
          <w:lang w:eastAsia="en-GB"/>
        </w:rPr>
        <w:t>referred</w:t>
      </w:r>
      <w:r w:rsidRPr="008A7C79">
        <w:rPr>
          <w:rFonts w:cs="Arial"/>
          <w:color w:val="231F20"/>
          <w:spacing w:val="21"/>
          <w:lang w:eastAsia="en-GB"/>
        </w:rPr>
        <w:t xml:space="preserve"> </w:t>
      </w:r>
      <w:r w:rsidRPr="008A7C79">
        <w:rPr>
          <w:rFonts w:cs="Arial"/>
          <w:color w:val="231F20"/>
          <w:lang w:eastAsia="en-GB"/>
        </w:rPr>
        <w:t>to other</w:t>
      </w:r>
      <w:r w:rsidRPr="008A7C79">
        <w:rPr>
          <w:rFonts w:cs="Arial"/>
          <w:color w:val="231F20"/>
          <w:spacing w:val="29"/>
          <w:lang w:eastAsia="en-GB"/>
        </w:rPr>
        <w:t xml:space="preserve"> </w:t>
      </w:r>
      <w:r w:rsidRPr="008A7C79">
        <w:rPr>
          <w:rFonts w:cs="Arial"/>
          <w:color w:val="231F20"/>
          <w:lang w:eastAsia="en-GB"/>
        </w:rPr>
        <w:t>departments</w:t>
      </w:r>
      <w:r w:rsidRPr="008A7C79">
        <w:rPr>
          <w:rFonts w:cs="Arial"/>
          <w:color w:val="231F20"/>
          <w:spacing w:val="22"/>
          <w:lang w:eastAsia="en-GB"/>
        </w:rPr>
        <w:t xml:space="preserve"> </w:t>
      </w:r>
      <w:r w:rsidRPr="008A7C79">
        <w:rPr>
          <w:rFonts w:cs="Arial"/>
          <w:color w:val="231F20"/>
          <w:lang w:eastAsia="en-GB"/>
        </w:rPr>
        <w:t>or</w:t>
      </w:r>
      <w:r w:rsidRPr="008A7C79">
        <w:rPr>
          <w:rFonts w:cs="Arial"/>
          <w:color w:val="231F20"/>
          <w:spacing w:val="32"/>
          <w:lang w:eastAsia="en-GB"/>
        </w:rPr>
        <w:t xml:space="preserve"> </w:t>
      </w:r>
      <w:r w:rsidRPr="008A7C79">
        <w:rPr>
          <w:rFonts w:cs="Arial"/>
          <w:color w:val="231F20"/>
          <w:lang w:eastAsia="en-GB"/>
        </w:rPr>
        <w:t>agencies</w:t>
      </w:r>
      <w:r w:rsidRPr="008A7C79">
        <w:rPr>
          <w:rFonts w:cs="Arial"/>
          <w:color w:val="231F20"/>
          <w:spacing w:val="25"/>
          <w:lang w:eastAsia="en-GB"/>
        </w:rPr>
        <w:t xml:space="preserve"> </w:t>
      </w:r>
      <w:r w:rsidRPr="008A7C79">
        <w:rPr>
          <w:rFonts w:cs="Arial"/>
          <w:color w:val="231F20"/>
          <w:lang w:eastAsia="en-GB"/>
        </w:rPr>
        <w:t>as</w:t>
      </w:r>
      <w:r w:rsidRPr="008A7C79">
        <w:rPr>
          <w:rFonts w:cs="Arial"/>
          <w:color w:val="231F20"/>
          <w:spacing w:val="30"/>
          <w:lang w:eastAsia="en-GB"/>
        </w:rPr>
        <w:t xml:space="preserve"> </w:t>
      </w:r>
      <w:r w:rsidRPr="008A7C79">
        <w:rPr>
          <w:rFonts w:cs="Arial"/>
          <w:color w:val="231F20"/>
          <w:lang w:eastAsia="en-GB"/>
        </w:rPr>
        <w:t>appropriate.</w:t>
      </w:r>
      <w:r w:rsidRPr="008A7C79">
        <w:rPr>
          <w:rFonts w:cs="Arial"/>
          <w:color w:val="231F20"/>
          <w:spacing w:val="20"/>
          <w:lang w:eastAsia="en-GB"/>
        </w:rPr>
        <w:t xml:space="preserve"> </w:t>
      </w:r>
      <w:r w:rsidRPr="008A7C79">
        <w:rPr>
          <w:rFonts w:cs="Arial"/>
          <w:color w:val="231F20"/>
          <w:lang w:eastAsia="en-GB"/>
        </w:rPr>
        <w:t>Because</w:t>
      </w:r>
      <w:r w:rsidRPr="008A7C79">
        <w:rPr>
          <w:rFonts w:cs="Arial"/>
          <w:color w:val="231F20"/>
          <w:spacing w:val="26"/>
          <w:lang w:eastAsia="en-GB"/>
        </w:rPr>
        <w:t xml:space="preserve"> </w:t>
      </w:r>
      <w:r w:rsidRPr="008A7C79">
        <w:rPr>
          <w:rFonts w:cs="Arial"/>
          <w:color w:val="231F20"/>
          <w:lang w:eastAsia="en-GB"/>
        </w:rPr>
        <w:t>of</w:t>
      </w:r>
      <w:r w:rsidRPr="008A7C79">
        <w:rPr>
          <w:rFonts w:cs="Arial"/>
          <w:color w:val="231F20"/>
          <w:spacing w:val="32"/>
          <w:lang w:eastAsia="en-GB"/>
        </w:rPr>
        <w:t xml:space="preserve"> </w:t>
      </w:r>
      <w:r w:rsidRPr="008A7C79">
        <w:rPr>
          <w:rFonts w:cs="Arial"/>
          <w:color w:val="231F20"/>
          <w:lang w:eastAsia="en-GB"/>
        </w:rPr>
        <w:t>the</w:t>
      </w:r>
      <w:r w:rsidRPr="008A7C79">
        <w:rPr>
          <w:rFonts w:cs="Arial"/>
          <w:color w:val="231F20"/>
          <w:spacing w:val="31"/>
          <w:lang w:eastAsia="en-GB"/>
        </w:rPr>
        <w:t xml:space="preserve"> </w:t>
      </w:r>
      <w:r w:rsidRPr="008A7C79">
        <w:rPr>
          <w:rFonts w:cs="Arial"/>
          <w:color w:val="231F20"/>
          <w:lang w:eastAsia="en-GB"/>
        </w:rPr>
        <w:t>often</w:t>
      </w:r>
      <w:r w:rsidRPr="008A7C79">
        <w:rPr>
          <w:rFonts w:cs="Arial"/>
          <w:color w:val="231F20"/>
          <w:spacing w:val="29"/>
          <w:lang w:eastAsia="en-GB"/>
        </w:rPr>
        <w:t xml:space="preserve"> </w:t>
      </w:r>
      <w:r w:rsidRPr="008A7C79">
        <w:rPr>
          <w:rFonts w:cs="Arial"/>
          <w:color w:val="231F20"/>
          <w:lang w:eastAsia="en-GB"/>
        </w:rPr>
        <w:t>lengthy</w:t>
      </w:r>
      <w:r w:rsidRPr="008A7C79">
        <w:rPr>
          <w:rFonts w:cs="Arial"/>
          <w:color w:val="231F20"/>
          <w:spacing w:val="27"/>
          <w:lang w:eastAsia="en-GB"/>
        </w:rPr>
        <w:t xml:space="preserve"> </w:t>
      </w:r>
      <w:r w:rsidRPr="008A7C79">
        <w:rPr>
          <w:rFonts w:cs="Arial"/>
          <w:color w:val="231F20"/>
          <w:lang w:eastAsia="en-GB"/>
        </w:rPr>
        <w:t>and complex</w:t>
      </w:r>
      <w:r w:rsidRPr="008A7C79">
        <w:rPr>
          <w:rFonts w:cs="Arial"/>
          <w:color w:val="231F20"/>
          <w:spacing w:val="4"/>
          <w:lang w:eastAsia="en-GB"/>
        </w:rPr>
        <w:t xml:space="preserve"> </w:t>
      </w:r>
      <w:r w:rsidRPr="008A7C79">
        <w:rPr>
          <w:rFonts w:cs="Arial"/>
          <w:color w:val="231F20"/>
          <w:lang w:eastAsia="en-GB"/>
        </w:rPr>
        <w:t>nature</w:t>
      </w:r>
      <w:r w:rsidRPr="008A7C79">
        <w:rPr>
          <w:rFonts w:cs="Arial"/>
          <w:color w:val="231F20"/>
          <w:spacing w:val="6"/>
          <w:lang w:eastAsia="en-GB"/>
        </w:rPr>
        <w:t xml:space="preserve"> </w:t>
      </w:r>
      <w:r w:rsidRPr="008A7C79">
        <w:rPr>
          <w:rFonts w:cs="Arial"/>
          <w:color w:val="231F20"/>
          <w:lang w:eastAsia="en-GB"/>
        </w:rPr>
        <w:t>of</w:t>
      </w:r>
      <w:r w:rsidRPr="008A7C79">
        <w:rPr>
          <w:rFonts w:cs="Arial"/>
          <w:color w:val="231F20"/>
          <w:spacing w:val="10"/>
          <w:lang w:eastAsia="en-GB"/>
        </w:rPr>
        <w:t xml:space="preserve"> </w:t>
      </w:r>
      <w:r w:rsidRPr="008A7C79">
        <w:rPr>
          <w:rFonts w:cs="Arial"/>
          <w:color w:val="231F20"/>
          <w:lang w:eastAsia="en-GB"/>
        </w:rPr>
        <w:t>plan</w:t>
      </w:r>
      <w:r w:rsidRPr="008A7C79">
        <w:rPr>
          <w:rFonts w:cs="Arial"/>
          <w:color w:val="231F20"/>
          <w:spacing w:val="-1"/>
          <w:lang w:eastAsia="en-GB"/>
        </w:rPr>
        <w:t>n</w:t>
      </w:r>
      <w:r w:rsidRPr="008A7C79">
        <w:rPr>
          <w:rFonts w:cs="Arial"/>
          <w:color w:val="231F20"/>
          <w:lang w:eastAsia="en-GB"/>
        </w:rPr>
        <w:t>ing</w:t>
      </w:r>
      <w:r w:rsidRPr="008A7C79">
        <w:rPr>
          <w:rFonts w:cs="Arial"/>
          <w:color w:val="231F20"/>
          <w:spacing w:val="4"/>
          <w:lang w:eastAsia="en-GB"/>
        </w:rPr>
        <w:t xml:space="preserve"> </w:t>
      </w:r>
      <w:r w:rsidRPr="008A7C79">
        <w:rPr>
          <w:rFonts w:cs="Arial"/>
          <w:color w:val="231F20"/>
          <w:lang w:eastAsia="en-GB"/>
        </w:rPr>
        <w:t>investi</w:t>
      </w:r>
      <w:r w:rsidRPr="008A7C79">
        <w:rPr>
          <w:rFonts w:cs="Arial"/>
          <w:color w:val="231F20"/>
          <w:spacing w:val="-1"/>
          <w:lang w:eastAsia="en-GB"/>
        </w:rPr>
        <w:t>g</w:t>
      </w:r>
      <w:r w:rsidRPr="008A7C79">
        <w:rPr>
          <w:rFonts w:cs="Arial"/>
          <w:color w:val="231F20"/>
          <w:lang w:eastAsia="en-GB"/>
        </w:rPr>
        <w:t>ations</w:t>
      </w:r>
      <w:r w:rsidRPr="008A7C79">
        <w:rPr>
          <w:rFonts w:cs="Arial"/>
          <w:color w:val="231F20"/>
          <w:spacing w:val="-1"/>
          <w:lang w:eastAsia="en-GB"/>
        </w:rPr>
        <w:t xml:space="preserve"> </w:t>
      </w:r>
      <w:r w:rsidRPr="008A7C79">
        <w:rPr>
          <w:rFonts w:cs="Arial"/>
          <w:color w:val="231F20"/>
          <w:lang w:eastAsia="en-GB"/>
        </w:rPr>
        <w:t>and</w:t>
      </w:r>
      <w:r w:rsidRPr="008A7C79">
        <w:rPr>
          <w:rFonts w:cs="Arial"/>
          <w:color w:val="231F20"/>
          <w:spacing w:val="7"/>
          <w:lang w:eastAsia="en-GB"/>
        </w:rPr>
        <w:t xml:space="preserve"> </w:t>
      </w:r>
      <w:r w:rsidRPr="008A7C79">
        <w:rPr>
          <w:rFonts w:cs="Arial"/>
          <w:color w:val="231F20"/>
          <w:lang w:eastAsia="en-GB"/>
        </w:rPr>
        <w:t>staff</w:t>
      </w:r>
      <w:r w:rsidRPr="008A7C79">
        <w:rPr>
          <w:rFonts w:cs="Arial"/>
          <w:color w:val="231F20"/>
          <w:spacing w:val="8"/>
          <w:lang w:eastAsia="en-GB"/>
        </w:rPr>
        <w:t xml:space="preserve"> </w:t>
      </w:r>
      <w:r w:rsidRPr="008A7C79">
        <w:rPr>
          <w:rFonts w:cs="Arial"/>
          <w:color w:val="231F20"/>
          <w:lang w:eastAsia="en-GB"/>
        </w:rPr>
        <w:t>resources</w:t>
      </w:r>
      <w:r w:rsidRPr="008A7C79">
        <w:rPr>
          <w:rFonts w:cs="Arial"/>
          <w:color w:val="231F20"/>
          <w:spacing w:val="2"/>
          <w:lang w:eastAsia="en-GB"/>
        </w:rPr>
        <w:t xml:space="preserve"> </w:t>
      </w:r>
      <w:r w:rsidRPr="008A7C79">
        <w:rPr>
          <w:rFonts w:cs="Arial"/>
          <w:color w:val="231F20"/>
          <w:lang w:eastAsia="en-GB"/>
        </w:rPr>
        <w:t>availabl</w:t>
      </w:r>
      <w:r w:rsidRPr="008A7C79">
        <w:rPr>
          <w:rFonts w:cs="Arial"/>
          <w:color w:val="231F20"/>
          <w:spacing w:val="-1"/>
          <w:lang w:eastAsia="en-GB"/>
        </w:rPr>
        <w:t>e</w:t>
      </w:r>
      <w:r w:rsidRPr="008A7C79">
        <w:rPr>
          <w:rFonts w:cs="Arial"/>
          <w:color w:val="231F20"/>
          <w:lang w:eastAsia="en-GB"/>
        </w:rPr>
        <w:t>,</w:t>
      </w:r>
      <w:r w:rsidRPr="008A7C79">
        <w:rPr>
          <w:rFonts w:cs="Arial"/>
          <w:color w:val="231F20"/>
          <w:spacing w:val="3"/>
          <w:lang w:eastAsia="en-GB"/>
        </w:rPr>
        <w:t xml:space="preserve"> </w:t>
      </w:r>
      <w:r w:rsidRPr="008A7C79">
        <w:rPr>
          <w:rFonts w:cs="Arial"/>
          <w:color w:val="231F20"/>
          <w:lang w:eastAsia="en-GB"/>
        </w:rPr>
        <w:t>priority</w:t>
      </w:r>
      <w:r w:rsidRPr="008A7C79">
        <w:rPr>
          <w:rFonts w:cs="Arial"/>
          <w:color w:val="231F20"/>
          <w:spacing w:val="5"/>
          <w:lang w:eastAsia="en-GB"/>
        </w:rPr>
        <w:t xml:space="preserve"> </w:t>
      </w:r>
      <w:r w:rsidR="00DB6797" w:rsidRPr="008A7C79">
        <w:rPr>
          <w:rFonts w:cs="Arial"/>
          <w:color w:val="231F20"/>
          <w:lang w:eastAsia="en-GB"/>
        </w:rPr>
        <w:t>is</w:t>
      </w:r>
      <w:r w:rsidRPr="008A7C79">
        <w:rPr>
          <w:rFonts w:cs="Arial"/>
          <w:color w:val="231F20"/>
          <w:spacing w:val="-2"/>
          <w:lang w:eastAsia="en-GB"/>
        </w:rPr>
        <w:t xml:space="preserve"> </w:t>
      </w:r>
      <w:r w:rsidRPr="008A7C79">
        <w:rPr>
          <w:rFonts w:cs="Arial"/>
          <w:color w:val="231F20"/>
          <w:lang w:eastAsia="en-GB"/>
        </w:rPr>
        <w:t>given</w:t>
      </w:r>
      <w:r w:rsidRPr="008A7C79">
        <w:rPr>
          <w:rFonts w:cs="Arial"/>
          <w:color w:val="231F20"/>
          <w:spacing w:val="-5"/>
          <w:lang w:eastAsia="en-GB"/>
        </w:rPr>
        <w:t xml:space="preserve"> </w:t>
      </w:r>
      <w:r w:rsidRPr="008A7C79">
        <w:rPr>
          <w:rFonts w:cs="Arial"/>
          <w:color w:val="231F20"/>
          <w:lang w:eastAsia="en-GB"/>
        </w:rPr>
        <w:t>to</w:t>
      </w:r>
      <w:r w:rsidRPr="008A7C79">
        <w:rPr>
          <w:rFonts w:cs="Arial"/>
          <w:color w:val="231F20"/>
          <w:spacing w:val="-2"/>
          <w:lang w:eastAsia="en-GB"/>
        </w:rPr>
        <w:t xml:space="preserve"> </w:t>
      </w:r>
      <w:r w:rsidRPr="008A7C79">
        <w:rPr>
          <w:rFonts w:cs="Arial"/>
          <w:color w:val="231F20"/>
          <w:lang w:eastAsia="en-GB"/>
        </w:rPr>
        <w:t>those</w:t>
      </w:r>
      <w:r w:rsidRPr="008A7C79">
        <w:rPr>
          <w:rFonts w:cs="Arial"/>
          <w:color w:val="231F20"/>
          <w:spacing w:val="-5"/>
          <w:lang w:eastAsia="en-GB"/>
        </w:rPr>
        <w:t xml:space="preserve"> </w:t>
      </w:r>
      <w:r w:rsidRPr="008A7C79">
        <w:rPr>
          <w:rFonts w:cs="Arial"/>
          <w:color w:val="231F20"/>
          <w:lang w:eastAsia="en-GB"/>
        </w:rPr>
        <w:t>cas</w:t>
      </w:r>
      <w:r w:rsidRPr="008A7C79">
        <w:rPr>
          <w:rFonts w:cs="Arial"/>
          <w:color w:val="231F20"/>
          <w:spacing w:val="-1"/>
          <w:lang w:eastAsia="en-GB"/>
        </w:rPr>
        <w:t>e</w:t>
      </w:r>
      <w:r w:rsidRPr="008A7C79">
        <w:rPr>
          <w:rFonts w:cs="Arial"/>
          <w:color w:val="231F20"/>
          <w:lang w:eastAsia="en-GB"/>
        </w:rPr>
        <w:t>s</w:t>
      </w:r>
      <w:r w:rsidRPr="008A7C79">
        <w:rPr>
          <w:rFonts w:cs="Arial"/>
          <w:color w:val="231F20"/>
          <w:spacing w:val="-7"/>
          <w:lang w:eastAsia="en-GB"/>
        </w:rPr>
        <w:t xml:space="preserve"> </w:t>
      </w:r>
      <w:r w:rsidRPr="008A7C79">
        <w:rPr>
          <w:rFonts w:cs="Arial"/>
          <w:color w:val="231F20"/>
          <w:lang w:eastAsia="en-GB"/>
        </w:rPr>
        <w:t>where</w:t>
      </w:r>
      <w:r w:rsidRPr="008A7C79">
        <w:rPr>
          <w:rFonts w:cs="Arial"/>
          <w:color w:val="231F20"/>
          <w:spacing w:val="-6"/>
          <w:lang w:eastAsia="en-GB"/>
        </w:rPr>
        <w:t xml:space="preserve"> </w:t>
      </w:r>
      <w:r w:rsidRPr="008A7C79">
        <w:rPr>
          <w:rFonts w:cs="Arial"/>
          <w:color w:val="231F20"/>
          <w:lang w:eastAsia="en-GB"/>
        </w:rPr>
        <w:t>the</w:t>
      </w:r>
      <w:r w:rsidRPr="008A7C79">
        <w:rPr>
          <w:rFonts w:cs="Arial"/>
          <w:color w:val="231F20"/>
          <w:spacing w:val="-3"/>
          <w:lang w:eastAsia="en-GB"/>
        </w:rPr>
        <w:t xml:space="preserve"> </w:t>
      </w:r>
      <w:r w:rsidRPr="008A7C79">
        <w:rPr>
          <w:rFonts w:cs="Arial"/>
          <w:color w:val="231F20"/>
          <w:lang w:eastAsia="en-GB"/>
        </w:rPr>
        <w:t>greatest</w:t>
      </w:r>
      <w:r w:rsidRPr="008A7C79">
        <w:rPr>
          <w:rFonts w:cs="Arial"/>
          <w:color w:val="231F20"/>
          <w:spacing w:val="-8"/>
          <w:lang w:eastAsia="en-GB"/>
        </w:rPr>
        <w:t xml:space="preserve"> </w:t>
      </w:r>
      <w:r w:rsidRPr="008A7C79">
        <w:rPr>
          <w:rFonts w:cs="Arial"/>
          <w:color w:val="231F20"/>
          <w:lang w:eastAsia="en-GB"/>
        </w:rPr>
        <w:t>harm</w:t>
      </w:r>
      <w:r w:rsidRPr="008A7C79">
        <w:rPr>
          <w:rFonts w:cs="Arial"/>
          <w:color w:val="231F20"/>
          <w:spacing w:val="-5"/>
          <w:lang w:eastAsia="en-GB"/>
        </w:rPr>
        <w:t xml:space="preserve"> </w:t>
      </w:r>
      <w:r w:rsidRPr="008A7C79">
        <w:rPr>
          <w:rFonts w:cs="Arial"/>
          <w:color w:val="231F20"/>
          <w:lang w:eastAsia="en-GB"/>
        </w:rPr>
        <w:t>is</w:t>
      </w:r>
      <w:r w:rsidRPr="008A7C79">
        <w:rPr>
          <w:rFonts w:cs="Arial"/>
          <w:color w:val="231F20"/>
          <w:spacing w:val="-2"/>
          <w:lang w:eastAsia="en-GB"/>
        </w:rPr>
        <w:t xml:space="preserve"> </w:t>
      </w:r>
      <w:r w:rsidRPr="008A7C79">
        <w:rPr>
          <w:rFonts w:cs="Arial"/>
          <w:color w:val="231F20"/>
          <w:lang w:eastAsia="en-GB"/>
        </w:rPr>
        <w:t>being</w:t>
      </w:r>
      <w:r w:rsidRPr="008A7C79">
        <w:rPr>
          <w:rFonts w:cs="Arial"/>
          <w:color w:val="231F20"/>
          <w:spacing w:val="-6"/>
          <w:lang w:eastAsia="en-GB"/>
        </w:rPr>
        <w:t xml:space="preserve"> </w:t>
      </w:r>
      <w:r w:rsidRPr="008A7C79">
        <w:rPr>
          <w:rFonts w:cs="Arial"/>
          <w:color w:val="231F20"/>
          <w:lang w:eastAsia="en-GB"/>
        </w:rPr>
        <w:t>ca</w:t>
      </w:r>
      <w:r w:rsidRPr="008A7C79">
        <w:rPr>
          <w:rFonts w:cs="Arial"/>
          <w:color w:val="231F20"/>
          <w:spacing w:val="-1"/>
          <w:lang w:eastAsia="en-GB"/>
        </w:rPr>
        <w:t>u</w:t>
      </w:r>
      <w:r w:rsidRPr="008A7C79">
        <w:rPr>
          <w:rFonts w:cs="Arial"/>
          <w:color w:val="231F20"/>
          <w:lang w:eastAsia="en-GB"/>
        </w:rPr>
        <w:t>sed</w:t>
      </w:r>
      <w:r w:rsidR="00CB45CA" w:rsidRPr="008A7C79">
        <w:rPr>
          <w:rFonts w:cs="Arial"/>
          <w:color w:val="231F20"/>
          <w:lang w:eastAsia="en-GB"/>
        </w:rPr>
        <w:t xml:space="preserve">, such as unauthorised development having a widespread impact in an area or that directly </w:t>
      </w:r>
      <w:r w:rsidR="00965260" w:rsidRPr="008A7C79">
        <w:rPr>
          <w:rFonts w:cs="Arial"/>
          <w:color w:val="231F20"/>
          <w:lang w:eastAsia="en-GB"/>
        </w:rPr>
        <w:t>contravenes local planning policies or national guidance.</w:t>
      </w:r>
    </w:p>
    <w:p w:rsidR="00270313" w:rsidRPr="00270313" w:rsidRDefault="00270313" w:rsidP="00270313">
      <w:pPr>
        <w:autoSpaceDE w:val="0"/>
        <w:autoSpaceDN w:val="0"/>
        <w:adjustRightInd w:val="0"/>
        <w:spacing w:before="12" w:line="240" w:lineRule="exact"/>
        <w:rPr>
          <w:rFonts w:cs="Arial"/>
          <w:color w:val="000000"/>
          <w:lang w:eastAsia="en-GB"/>
        </w:rPr>
      </w:pPr>
    </w:p>
    <w:p w:rsidR="0075175E" w:rsidRPr="008A7C79" w:rsidRDefault="00270313" w:rsidP="008A7C79">
      <w:pPr>
        <w:pStyle w:val="ListParagraph"/>
        <w:numPr>
          <w:ilvl w:val="0"/>
          <w:numId w:val="8"/>
        </w:numPr>
        <w:autoSpaceDE w:val="0"/>
        <w:autoSpaceDN w:val="0"/>
        <w:adjustRightInd w:val="0"/>
        <w:ind w:right="46"/>
        <w:rPr>
          <w:rFonts w:cs="Arial"/>
          <w:lang w:eastAsia="en-GB"/>
        </w:rPr>
      </w:pPr>
      <w:r w:rsidRPr="008A7C79">
        <w:rPr>
          <w:rFonts w:cs="Arial"/>
          <w:color w:val="000000"/>
          <w:lang w:eastAsia="en-GB"/>
        </w:rPr>
        <w:t>When</w:t>
      </w:r>
      <w:r w:rsidRPr="008A7C79">
        <w:rPr>
          <w:rFonts w:cs="Arial"/>
          <w:color w:val="000000"/>
          <w:spacing w:val="3"/>
          <w:lang w:eastAsia="en-GB"/>
        </w:rPr>
        <w:t xml:space="preserve"> </w:t>
      </w:r>
      <w:r w:rsidRPr="008A7C79">
        <w:rPr>
          <w:rFonts w:cs="Arial"/>
          <w:color w:val="000000"/>
          <w:lang w:eastAsia="en-GB"/>
        </w:rPr>
        <w:t>complaints</w:t>
      </w:r>
      <w:r w:rsidRPr="008A7C79">
        <w:rPr>
          <w:rFonts w:cs="Arial"/>
          <w:color w:val="000000"/>
          <w:spacing w:val="-2"/>
          <w:lang w:eastAsia="en-GB"/>
        </w:rPr>
        <w:t xml:space="preserve"> </w:t>
      </w:r>
      <w:r w:rsidRPr="008A7C79">
        <w:rPr>
          <w:rFonts w:cs="Arial"/>
          <w:color w:val="000000"/>
          <w:lang w:eastAsia="en-GB"/>
        </w:rPr>
        <w:t>are</w:t>
      </w:r>
      <w:r w:rsidRPr="008A7C79">
        <w:rPr>
          <w:rFonts w:cs="Arial"/>
          <w:color w:val="000000"/>
          <w:spacing w:val="6"/>
          <w:lang w:eastAsia="en-GB"/>
        </w:rPr>
        <w:t xml:space="preserve"> </w:t>
      </w:r>
      <w:r w:rsidRPr="008A7C79">
        <w:rPr>
          <w:rFonts w:cs="Arial"/>
          <w:color w:val="000000"/>
          <w:lang w:eastAsia="en-GB"/>
        </w:rPr>
        <w:t>fi</w:t>
      </w:r>
      <w:r w:rsidRPr="008A7C79">
        <w:rPr>
          <w:rFonts w:cs="Arial"/>
          <w:color w:val="000000"/>
          <w:spacing w:val="-1"/>
          <w:lang w:eastAsia="en-GB"/>
        </w:rPr>
        <w:t>r</w:t>
      </w:r>
      <w:r w:rsidRPr="008A7C79">
        <w:rPr>
          <w:rFonts w:cs="Arial"/>
          <w:color w:val="000000"/>
          <w:lang w:eastAsia="en-GB"/>
        </w:rPr>
        <w:t>st</w:t>
      </w:r>
      <w:r w:rsidRPr="008A7C79">
        <w:rPr>
          <w:rFonts w:cs="Arial"/>
          <w:color w:val="000000"/>
          <w:spacing w:val="5"/>
          <w:lang w:eastAsia="en-GB"/>
        </w:rPr>
        <w:t xml:space="preserve"> </w:t>
      </w:r>
      <w:r w:rsidRPr="008A7C79">
        <w:rPr>
          <w:rFonts w:cs="Arial"/>
          <w:color w:val="000000"/>
          <w:lang w:eastAsia="en-GB"/>
        </w:rPr>
        <w:t>received</w:t>
      </w:r>
      <w:r w:rsidRPr="008A7C79">
        <w:rPr>
          <w:rFonts w:cs="Arial"/>
          <w:color w:val="000000"/>
          <w:spacing w:val="1"/>
          <w:lang w:eastAsia="en-GB"/>
        </w:rPr>
        <w:t xml:space="preserve"> </w:t>
      </w:r>
      <w:r w:rsidR="00DB6797" w:rsidRPr="008A7C79">
        <w:rPr>
          <w:rFonts w:cs="Arial"/>
          <w:color w:val="000000"/>
          <w:lang w:eastAsia="en-GB"/>
        </w:rPr>
        <w:t>they are</w:t>
      </w:r>
      <w:r w:rsidRPr="008A7C79">
        <w:rPr>
          <w:rFonts w:cs="Arial"/>
          <w:color w:val="000000"/>
          <w:spacing w:val="7"/>
          <w:lang w:eastAsia="en-GB"/>
        </w:rPr>
        <w:t xml:space="preserve"> </w:t>
      </w:r>
      <w:r w:rsidRPr="008A7C79">
        <w:rPr>
          <w:rFonts w:cs="Arial"/>
          <w:color w:val="000000"/>
          <w:lang w:eastAsia="en-GB"/>
        </w:rPr>
        <w:t>assi</w:t>
      </w:r>
      <w:r w:rsidRPr="008A7C79">
        <w:rPr>
          <w:rFonts w:cs="Arial"/>
          <w:color w:val="000000"/>
          <w:spacing w:val="-1"/>
          <w:lang w:eastAsia="en-GB"/>
        </w:rPr>
        <w:t>g</w:t>
      </w:r>
      <w:r w:rsidRPr="008A7C79">
        <w:rPr>
          <w:rFonts w:cs="Arial"/>
          <w:color w:val="000000"/>
          <w:lang w:eastAsia="en-GB"/>
        </w:rPr>
        <w:t>ned a</w:t>
      </w:r>
      <w:r w:rsidRPr="008A7C79">
        <w:rPr>
          <w:rFonts w:cs="Arial"/>
          <w:color w:val="000000"/>
          <w:spacing w:val="8"/>
          <w:lang w:eastAsia="en-GB"/>
        </w:rPr>
        <w:t xml:space="preserve"> </w:t>
      </w:r>
      <w:r w:rsidRPr="008A7C79">
        <w:rPr>
          <w:rFonts w:cs="Arial"/>
          <w:color w:val="000000"/>
          <w:lang w:eastAsia="en-GB"/>
        </w:rPr>
        <w:t>priority</w:t>
      </w:r>
      <w:r w:rsidRPr="008A7C79">
        <w:rPr>
          <w:rFonts w:cs="Arial"/>
          <w:color w:val="000000"/>
          <w:spacing w:val="9"/>
          <w:lang w:eastAsia="en-GB"/>
        </w:rPr>
        <w:t xml:space="preserve"> </w:t>
      </w:r>
      <w:r w:rsidRPr="008A7C79">
        <w:rPr>
          <w:rFonts w:cs="Arial"/>
          <w:color w:val="000000"/>
          <w:lang w:eastAsia="en-GB"/>
        </w:rPr>
        <w:t>dependent</w:t>
      </w:r>
      <w:r w:rsidRPr="008A7C79">
        <w:rPr>
          <w:rFonts w:cs="Arial"/>
          <w:color w:val="000000"/>
          <w:spacing w:val="-11"/>
          <w:lang w:eastAsia="en-GB"/>
        </w:rPr>
        <w:t xml:space="preserve"> </w:t>
      </w:r>
      <w:r w:rsidRPr="008A7C79">
        <w:rPr>
          <w:rFonts w:cs="Arial"/>
          <w:color w:val="000000"/>
          <w:lang w:eastAsia="en-GB"/>
        </w:rPr>
        <w:t>upon</w:t>
      </w:r>
      <w:r w:rsidRPr="008A7C79">
        <w:rPr>
          <w:rFonts w:cs="Arial"/>
          <w:color w:val="000000"/>
          <w:spacing w:val="21"/>
          <w:lang w:eastAsia="en-GB"/>
        </w:rPr>
        <w:t xml:space="preserve"> </w:t>
      </w:r>
      <w:r w:rsidRPr="008A7C79">
        <w:rPr>
          <w:rFonts w:cs="Arial"/>
          <w:color w:val="000000"/>
          <w:lang w:eastAsia="en-GB"/>
        </w:rPr>
        <w:t>the</w:t>
      </w:r>
      <w:r w:rsidRPr="008A7C79">
        <w:rPr>
          <w:rFonts w:cs="Arial"/>
          <w:color w:val="000000"/>
          <w:spacing w:val="23"/>
          <w:lang w:eastAsia="en-GB"/>
        </w:rPr>
        <w:t xml:space="preserve"> </w:t>
      </w:r>
      <w:r w:rsidRPr="008A7C79">
        <w:rPr>
          <w:rFonts w:cs="Arial"/>
          <w:color w:val="000000"/>
          <w:lang w:eastAsia="en-GB"/>
        </w:rPr>
        <w:t>n</w:t>
      </w:r>
      <w:r w:rsidRPr="008A7C79">
        <w:rPr>
          <w:rFonts w:cs="Arial"/>
          <w:color w:val="000000"/>
          <w:spacing w:val="1"/>
          <w:lang w:eastAsia="en-GB"/>
        </w:rPr>
        <w:t>a</w:t>
      </w:r>
      <w:r w:rsidRPr="008A7C79">
        <w:rPr>
          <w:rFonts w:cs="Arial"/>
          <w:color w:val="000000"/>
          <w:lang w:eastAsia="en-GB"/>
        </w:rPr>
        <w:t>ture</w:t>
      </w:r>
      <w:r w:rsidRPr="008A7C79">
        <w:rPr>
          <w:rFonts w:cs="Arial"/>
          <w:color w:val="000000"/>
          <w:spacing w:val="20"/>
          <w:lang w:eastAsia="en-GB"/>
        </w:rPr>
        <w:t xml:space="preserve"> </w:t>
      </w:r>
      <w:r w:rsidRPr="008A7C79">
        <w:rPr>
          <w:rFonts w:cs="Arial"/>
          <w:color w:val="000000"/>
          <w:lang w:eastAsia="en-GB"/>
        </w:rPr>
        <w:t>of</w:t>
      </w:r>
      <w:r w:rsidRPr="008A7C79">
        <w:rPr>
          <w:rFonts w:cs="Arial"/>
          <w:color w:val="000000"/>
          <w:spacing w:val="24"/>
          <w:lang w:eastAsia="en-GB"/>
        </w:rPr>
        <w:t xml:space="preserve"> </w:t>
      </w:r>
      <w:r w:rsidRPr="008A7C79">
        <w:rPr>
          <w:rFonts w:cs="Arial"/>
          <w:color w:val="000000"/>
          <w:lang w:eastAsia="en-GB"/>
        </w:rPr>
        <w:t>the</w:t>
      </w:r>
      <w:r w:rsidRPr="008A7C79">
        <w:rPr>
          <w:rFonts w:cs="Arial"/>
          <w:color w:val="000000"/>
          <w:spacing w:val="24"/>
          <w:lang w:eastAsia="en-GB"/>
        </w:rPr>
        <w:t xml:space="preserve"> </w:t>
      </w:r>
      <w:r w:rsidRPr="008A7C79">
        <w:rPr>
          <w:rFonts w:cs="Arial"/>
          <w:color w:val="000000"/>
          <w:lang w:eastAsia="en-GB"/>
        </w:rPr>
        <w:t>alleged</w:t>
      </w:r>
      <w:r w:rsidRPr="008A7C79">
        <w:rPr>
          <w:rFonts w:cs="Arial"/>
          <w:color w:val="000000"/>
          <w:spacing w:val="19"/>
          <w:lang w:eastAsia="en-GB"/>
        </w:rPr>
        <w:t xml:space="preserve"> </w:t>
      </w:r>
      <w:r w:rsidRPr="008A7C79">
        <w:rPr>
          <w:rFonts w:cs="Arial"/>
          <w:color w:val="000000"/>
          <w:lang w:eastAsia="en-GB"/>
        </w:rPr>
        <w:t>breach. This</w:t>
      </w:r>
      <w:r w:rsidRPr="008A7C79">
        <w:rPr>
          <w:rFonts w:cs="Arial"/>
          <w:color w:val="000000"/>
          <w:spacing w:val="22"/>
          <w:lang w:eastAsia="en-GB"/>
        </w:rPr>
        <w:t xml:space="preserve"> </w:t>
      </w:r>
      <w:r w:rsidRPr="008A7C79">
        <w:rPr>
          <w:rFonts w:cs="Arial"/>
          <w:color w:val="000000"/>
          <w:lang w:eastAsia="en-GB"/>
        </w:rPr>
        <w:t>initial</w:t>
      </w:r>
      <w:r w:rsidRPr="008A7C79">
        <w:rPr>
          <w:rFonts w:cs="Arial"/>
          <w:color w:val="000000"/>
          <w:spacing w:val="21"/>
          <w:lang w:eastAsia="en-GB"/>
        </w:rPr>
        <w:t xml:space="preserve"> </w:t>
      </w:r>
      <w:r w:rsidRPr="008A7C79">
        <w:rPr>
          <w:rFonts w:cs="Arial"/>
          <w:color w:val="000000"/>
          <w:lang w:eastAsia="en-GB"/>
        </w:rPr>
        <w:t>ass</w:t>
      </w:r>
      <w:r w:rsidRPr="008A7C79">
        <w:rPr>
          <w:rFonts w:cs="Arial"/>
          <w:color w:val="000000"/>
          <w:spacing w:val="-1"/>
          <w:lang w:eastAsia="en-GB"/>
        </w:rPr>
        <w:t>e</w:t>
      </w:r>
      <w:r w:rsidRPr="008A7C79">
        <w:rPr>
          <w:rFonts w:cs="Arial"/>
          <w:color w:val="000000"/>
          <w:lang w:eastAsia="en-GB"/>
        </w:rPr>
        <w:t>ssment</w:t>
      </w:r>
      <w:r w:rsidRPr="008A7C79">
        <w:rPr>
          <w:rFonts w:cs="Arial"/>
          <w:color w:val="000000"/>
          <w:spacing w:val="14"/>
          <w:lang w:eastAsia="en-GB"/>
        </w:rPr>
        <w:t xml:space="preserve"> </w:t>
      </w:r>
      <w:r w:rsidRPr="008A7C79">
        <w:rPr>
          <w:rFonts w:cs="Arial"/>
          <w:color w:val="000000"/>
          <w:lang w:eastAsia="en-GB"/>
        </w:rPr>
        <w:t>will</w:t>
      </w:r>
      <w:r w:rsidRPr="008A7C79">
        <w:rPr>
          <w:rFonts w:cs="Arial"/>
          <w:color w:val="000000"/>
          <w:spacing w:val="23"/>
          <w:lang w:eastAsia="en-GB"/>
        </w:rPr>
        <w:t xml:space="preserve"> </w:t>
      </w:r>
      <w:r w:rsidRPr="008A7C79">
        <w:rPr>
          <w:rFonts w:cs="Arial"/>
          <w:color w:val="000000"/>
          <w:lang w:eastAsia="en-GB"/>
        </w:rPr>
        <w:t>be</w:t>
      </w:r>
      <w:r w:rsidRPr="008A7C79">
        <w:rPr>
          <w:rFonts w:cs="Arial"/>
          <w:color w:val="000000"/>
          <w:spacing w:val="27"/>
          <w:lang w:eastAsia="en-GB"/>
        </w:rPr>
        <w:t xml:space="preserve"> </w:t>
      </w:r>
      <w:r w:rsidRPr="008A7C79">
        <w:rPr>
          <w:rFonts w:cs="Arial"/>
          <w:color w:val="000000"/>
          <w:lang w:eastAsia="en-GB"/>
        </w:rPr>
        <w:t>dependent</w:t>
      </w:r>
      <w:r w:rsidRPr="008A7C79">
        <w:rPr>
          <w:rFonts w:cs="Arial"/>
          <w:color w:val="000000"/>
          <w:spacing w:val="-11"/>
          <w:lang w:eastAsia="en-GB"/>
        </w:rPr>
        <w:t xml:space="preserve"> </w:t>
      </w:r>
      <w:r w:rsidRPr="008A7C79">
        <w:rPr>
          <w:rFonts w:cs="Arial"/>
          <w:color w:val="000000"/>
          <w:lang w:eastAsia="en-GB"/>
        </w:rPr>
        <w:t>upon</w:t>
      </w:r>
      <w:r w:rsidRPr="008A7C79">
        <w:rPr>
          <w:rFonts w:cs="Arial"/>
          <w:color w:val="000000"/>
          <w:spacing w:val="24"/>
          <w:lang w:eastAsia="en-GB"/>
        </w:rPr>
        <w:t xml:space="preserve"> </w:t>
      </w:r>
      <w:r w:rsidRPr="008A7C79">
        <w:rPr>
          <w:rFonts w:cs="Arial"/>
          <w:color w:val="000000"/>
          <w:lang w:eastAsia="en-GB"/>
        </w:rPr>
        <w:t>the</w:t>
      </w:r>
      <w:r w:rsidRPr="008A7C79">
        <w:rPr>
          <w:rFonts w:cs="Arial"/>
          <w:color w:val="000000"/>
          <w:spacing w:val="26"/>
          <w:lang w:eastAsia="en-GB"/>
        </w:rPr>
        <w:t xml:space="preserve"> </w:t>
      </w:r>
      <w:r w:rsidRPr="008A7C79">
        <w:rPr>
          <w:rFonts w:cs="Arial"/>
          <w:color w:val="000000"/>
          <w:lang w:eastAsia="en-GB"/>
        </w:rPr>
        <w:t>i</w:t>
      </w:r>
      <w:r w:rsidRPr="008A7C79">
        <w:rPr>
          <w:rFonts w:cs="Arial"/>
          <w:color w:val="000000"/>
          <w:spacing w:val="-1"/>
          <w:lang w:eastAsia="en-GB"/>
        </w:rPr>
        <w:t>nf</w:t>
      </w:r>
      <w:r w:rsidRPr="008A7C79">
        <w:rPr>
          <w:rFonts w:cs="Arial"/>
          <w:color w:val="000000"/>
          <w:lang w:eastAsia="en-GB"/>
        </w:rPr>
        <w:t>ormation</w:t>
      </w:r>
      <w:r w:rsidRPr="008A7C79">
        <w:rPr>
          <w:rFonts w:cs="Arial"/>
          <w:color w:val="000000"/>
          <w:spacing w:val="18"/>
          <w:lang w:eastAsia="en-GB"/>
        </w:rPr>
        <w:t xml:space="preserve"> </w:t>
      </w:r>
      <w:r w:rsidRPr="008A7C79">
        <w:rPr>
          <w:rFonts w:cs="Arial"/>
          <w:color w:val="000000"/>
          <w:lang w:eastAsia="en-GB"/>
        </w:rPr>
        <w:t>provided</w:t>
      </w:r>
      <w:r w:rsidRPr="008A7C79">
        <w:rPr>
          <w:rFonts w:cs="Arial"/>
          <w:color w:val="000000"/>
          <w:spacing w:val="21"/>
          <w:lang w:eastAsia="en-GB"/>
        </w:rPr>
        <w:t xml:space="preserve"> </w:t>
      </w:r>
      <w:r w:rsidRPr="008A7C79">
        <w:rPr>
          <w:rFonts w:cs="Arial"/>
          <w:color w:val="000000"/>
          <w:lang w:eastAsia="en-GB"/>
        </w:rPr>
        <w:t>at</w:t>
      </w:r>
      <w:r w:rsidRPr="008A7C79">
        <w:rPr>
          <w:rFonts w:cs="Arial"/>
          <w:color w:val="000000"/>
          <w:spacing w:val="27"/>
          <w:lang w:eastAsia="en-GB"/>
        </w:rPr>
        <w:t xml:space="preserve"> </w:t>
      </w:r>
      <w:r w:rsidRPr="008A7C79">
        <w:rPr>
          <w:rFonts w:cs="Arial"/>
          <w:color w:val="000000"/>
          <w:lang w:eastAsia="en-GB"/>
        </w:rPr>
        <w:t>t</w:t>
      </w:r>
      <w:r w:rsidRPr="008A7C79">
        <w:rPr>
          <w:rFonts w:cs="Arial"/>
          <w:color w:val="000000"/>
          <w:spacing w:val="-1"/>
          <w:lang w:eastAsia="en-GB"/>
        </w:rPr>
        <w:t>h</w:t>
      </w:r>
      <w:r w:rsidRPr="008A7C79">
        <w:rPr>
          <w:rFonts w:cs="Arial"/>
          <w:color w:val="000000"/>
          <w:lang w:eastAsia="en-GB"/>
        </w:rPr>
        <w:t>e</w:t>
      </w:r>
      <w:r w:rsidRPr="008A7C79">
        <w:rPr>
          <w:rFonts w:cs="Arial"/>
          <w:color w:val="000000"/>
          <w:spacing w:val="26"/>
          <w:lang w:eastAsia="en-GB"/>
        </w:rPr>
        <w:t xml:space="preserve"> </w:t>
      </w:r>
      <w:r w:rsidRPr="008A7C79">
        <w:rPr>
          <w:rFonts w:cs="Arial"/>
          <w:color w:val="000000"/>
          <w:lang w:eastAsia="en-GB"/>
        </w:rPr>
        <w:t>time</w:t>
      </w:r>
      <w:r w:rsidRPr="008A7C79">
        <w:rPr>
          <w:rFonts w:cs="Arial"/>
          <w:color w:val="000000"/>
          <w:spacing w:val="25"/>
          <w:lang w:eastAsia="en-GB"/>
        </w:rPr>
        <w:t xml:space="preserve"> </w:t>
      </w:r>
      <w:r w:rsidRPr="008A7C79">
        <w:rPr>
          <w:rFonts w:cs="Arial"/>
          <w:color w:val="000000"/>
          <w:lang w:eastAsia="en-GB"/>
        </w:rPr>
        <w:t>and</w:t>
      </w:r>
      <w:r w:rsidRPr="008A7C79">
        <w:rPr>
          <w:rFonts w:cs="Arial"/>
          <w:color w:val="000000"/>
          <w:spacing w:val="24"/>
          <w:lang w:eastAsia="en-GB"/>
        </w:rPr>
        <w:t xml:space="preserve"> </w:t>
      </w:r>
      <w:r w:rsidRPr="008A7C79">
        <w:rPr>
          <w:rFonts w:cs="Arial"/>
          <w:color w:val="000000"/>
          <w:lang w:eastAsia="en-GB"/>
        </w:rPr>
        <w:t>the</w:t>
      </w:r>
      <w:r w:rsidRPr="008A7C79">
        <w:rPr>
          <w:rFonts w:cs="Arial"/>
          <w:color w:val="000000"/>
          <w:spacing w:val="26"/>
          <w:lang w:eastAsia="en-GB"/>
        </w:rPr>
        <w:t xml:space="preserve"> </w:t>
      </w:r>
      <w:r w:rsidRPr="008A7C79">
        <w:rPr>
          <w:rFonts w:cs="Arial"/>
          <w:color w:val="000000"/>
          <w:lang w:eastAsia="en-GB"/>
        </w:rPr>
        <w:t>harm</w:t>
      </w:r>
      <w:r w:rsidRPr="008A7C79">
        <w:rPr>
          <w:rFonts w:cs="Arial"/>
          <w:color w:val="000000"/>
          <w:spacing w:val="24"/>
          <w:lang w:eastAsia="en-GB"/>
        </w:rPr>
        <w:t xml:space="preserve"> </w:t>
      </w:r>
      <w:r w:rsidRPr="008A7C79">
        <w:rPr>
          <w:rFonts w:cs="Arial"/>
          <w:color w:val="000000"/>
          <w:lang w:eastAsia="en-GB"/>
        </w:rPr>
        <w:t>that</w:t>
      </w:r>
      <w:r w:rsidR="00965260" w:rsidRPr="008A7C79">
        <w:rPr>
          <w:rFonts w:cs="Arial"/>
          <w:color w:val="000000"/>
          <w:lang w:eastAsia="en-GB"/>
        </w:rPr>
        <w:t xml:space="preserve"> is identified,</w:t>
      </w:r>
      <w:r w:rsidRPr="008A7C79">
        <w:rPr>
          <w:rFonts w:cs="Arial"/>
          <w:color w:val="000000"/>
          <w:spacing w:val="29"/>
          <w:lang w:eastAsia="en-GB"/>
        </w:rPr>
        <w:t xml:space="preserve"> </w:t>
      </w:r>
      <w:r w:rsidRPr="008A7C79">
        <w:rPr>
          <w:rFonts w:cs="Arial"/>
          <w:color w:val="000000"/>
          <w:lang w:eastAsia="en-GB"/>
        </w:rPr>
        <w:t>such</w:t>
      </w:r>
      <w:r w:rsidRPr="008A7C79">
        <w:rPr>
          <w:rFonts w:cs="Arial"/>
          <w:color w:val="000000"/>
          <w:spacing w:val="23"/>
          <w:lang w:eastAsia="en-GB"/>
        </w:rPr>
        <w:t xml:space="preserve"> </w:t>
      </w:r>
      <w:r w:rsidRPr="008A7C79">
        <w:rPr>
          <w:rFonts w:cs="Arial"/>
          <w:color w:val="000000"/>
          <w:lang w:eastAsia="en-GB"/>
        </w:rPr>
        <w:t>as</w:t>
      </w:r>
      <w:r w:rsidRPr="008A7C79">
        <w:rPr>
          <w:rFonts w:cs="Arial"/>
          <w:color w:val="000000"/>
          <w:spacing w:val="-3"/>
          <w:lang w:eastAsia="en-GB"/>
        </w:rPr>
        <w:t xml:space="preserve"> </w:t>
      </w:r>
      <w:r w:rsidRPr="008A7C79">
        <w:rPr>
          <w:rFonts w:cs="Arial"/>
          <w:color w:val="000000"/>
          <w:lang w:eastAsia="en-GB"/>
        </w:rPr>
        <w:t>possible</w:t>
      </w:r>
      <w:r w:rsidRPr="008A7C79">
        <w:rPr>
          <w:rFonts w:cs="Arial"/>
          <w:color w:val="000000"/>
          <w:spacing w:val="61"/>
          <w:lang w:eastAsia="en-GB"/>
        </w:rPr>
        <w:t xml:space="preserve"> </w:t>
      </w:r>
      <w:r w:rsidRPr="008A7C79">
        <w:rPr>
          <w:rFonts w:cs="Arial"/>
          <w:color w:val="000000"/>
          <w:lang w:eastAsia="en-GB"/>
        </w:rPr>
        <w:t>h</w:t>
      </w:r>
      <w:r w:rsidRPr="008A7C79">
        <w:rPr>
          <w:rFonts w:cs="Arial"/>
          <w:color w:val="000000"/>
          <w:spacing w:val="-1"/>
          <w:lang w:eastAsia="en-GB"/>
        </w:rPr>
        <w:t>a</w:t>
      </w:r>
      <w:r w:rsidRPr="008A7C79">
        <w:rPr>
          <w:rFonts w:cs="Arial"/>
          <w:color w:val="000000"/>
          <w:lang w:eastAsia="en-GB"/>
        </w:rPr>
        <w:t>rm</w:t>
      </w:r>
      <w:r w:rsidRPr="008A7C79">
        <w:rPr>
          <w:rFonts w:cs="Arial"/>
          <w:color w:val="000000"/>
          <w:spacing w:val="4"/>
          <w:lang w:eastAsia="en-GB"/>
        </w:rPr>
        <w:t xml:space="preserve"> </w:t>
      </w:r>
      <w:r w:rsidRPr="008A7C79">
        <w:rPr>
          <w:rFonts w:cs="Arial"/>
          <w:color w:val="000000"/>
          <w:lang w:eastAsia="en-GB"/>
        </w:rPr>
        <w:t>to</w:t>
      </w:r>
      <w:r w:rsidRPr="008A7C79">
        <w:rPr>
          <w:rFonts w:cs="Arial"/>
          <w:color w:val="000000"/>
          <w:spacing w:val="7"/>
          <w:lang w:eastAsia="en-GB"/>
        </w:rPr>
        <w:t xml:space="preserve"> </w:t>
      </w:r>
      <w:r w:rsidRPr="008A7C79">
        <w:rPr>
          <w:rFonts w:cs="Arial"/>
          <w:color w:val="000000"/>
          <w:lang w:eastAsia="en-GB"/>
        </w:rPr>
        <w:t>the environment</w:t>
      </w:r>
      <w:r w:rsidRPr="008A7C79">
        <w:rPr>
          <w:rFonts w:cs="Arial"/>
          <w:color w:val="000000"/>
          <w:spacing w:val="59"/>
          <w:lang w:eastAsia="en-GB"/>
        </w:rPr>
        <w:t xml:space="preserve"> </w:t>
      </w:r>
      <w:r w:rsidRPr="008A7C79">
        <w:rPr>
          <w:rFonts w:cs="Arial"/>
          <w:color w:val="000000"/>
          <w:lang w:eastAsia="en-GB"/>
        </w:rPr>
        <w:t>or</w:t>
      </w:r>
      <w:r w:rsidRPr="008A7C79">
        <w:rPr>
          <w:rFonts w:cs="Arial"/>
          <w:color w:val="000000"/>
          <w:spacing w:val="7"/>
          <w:lang w:eastAsia="en-GB"/>
        </w:rPr>
        <w:t xml:space="preserve"> </w:t>
      </w:r>
      <w:r w:rsidRPr="008A7C79">
        <w:rPr>
          <w:rFonts w:cs="Arial"/>
          <w:color w:val="000000"/>
          <w:lang w:eastAsia="en-GB"/>
        </w:rPr>
        <w:t>pu</w:t>
      </w:r>
      <w:r w:rsidRPr="008A7C79">
        <w:rPr>
          <w:rFonts w:cs="Arial"/>
          <w:color w:val="000000"/>
          <w:spacing w:val="1"/>
          <w:lang w:eastAsia="en-GB"/>
        </w:rPr>
        <w:t>b</w:t>
      </w:r>
      <w:r w:rsidRPr="008A7C79">
        <w:rPr>
          <w:rFonts w:cs="Arial"/>
          <w:color w:val="000000"/>
          <w:lang w:eastAsia="en-GB"/>
        </w:rPr>
        <w:t>lic and/or pla</w:t>
      </w:r>
      <w:r w:rsidRPr="008A7C79">
        <w:rPr>
          <w:rFonts w:cs="Arial"/>
          <w:color w:val="000000"/>
          <w:spacing w:val="-1"/>
          <w:lang w:eastAsia="en-GB"/>
        </w:rPr>
        <w:t>n</w:t>
      </w:r>
      <w:r w:rsidRPr="008A7C79">
        <w:rPr>
          <w:rFonts w:cs="Arial"/>
          <w:color w:val="000000"/>
          <w:lang w:eastAsia="en-GB"/>
        </w:rPr>
        <w:t>ning</w:t>
      </w:r>
      <w:r w:rsidRPr="008A7C79">
        <w:rPr>
          <w:rFonts w:cs="Arial"/>
          <w:color w:val="000000"/>
          <w:spacing w:val="9"/>
          <w:lang w:eastAsia="en-GB"/>
        </w:rPr>
        <w:t xml:space="preserve"> </w:t>
      </w:r>
      <w:r w:rsidRPr="008A7C79">
        <w:rPr>
          <w:rFonts w:cs="Arial"/>
          <w:color w:val="000000"/>
          <w:lang w:eastAsia="en-GB"/>
        </w:rPr>
        <w:t>sig</w:t>
      </w:r>
      <w:r w:rsidRPr="008A7C79">
        <w:rPr>
          <w:rFonts w:cs="Arial"/>
          <w:color w:val="000000"/>
          <w:spacing w:val="-1"/>
          <w:lang w:eastAsia="en-GB"/>
        </w:rPr>
        <w:t>n</w:t>
      </w:r>
      <w:r w:rsidRPr="008A7C79">
        <w:rPr>
          <w:rFonts w:cs="Arial"/>
          <w:color w:val="000000"/>
          <w:lang w:eastAsia="en-GB"/>
        </w:rPr>
        <w:t>ificance.</w:t>
      </w:r>
      <w:r w:rsidRPr="008A7C79">
        <w:rPr>
          <w:rFonts w:cs="Arial"/>
          <w:color w:val="000000"/>
          <w:spacing w:val="58"/>
          <w:lang w:eastAsia="en-GB"/>
        </w:rPr>
        <w:t xml:space="preserve"> </w:t>
      </w:r>
      <w:r w:rsidR="009820EA" w:rsidRPr="008A7C79">
        <w:rPr>
          <w:rFonts w:cs="Arial"/>
          <w:lang w:eastAsia="en-GB"/>
        </w:rPr>
        <w:t>Complaints are prioritised as high, medium or low depending on the nature of the issue</w:t>
      </w:r>
      <w:r w:rsidR="00DD6A2D" w:rsidRPr="008A7C79">
        <w:rPr>
          <w:rFonts w:cs="Arial"/>
          <w:lang w:eastAsia="en-GB"/>
        </w:rPr>
        <w:t xml:space="preserve"> and </w:t>
      </w:r>
      <w:r w:rsidR="00A51C02" w:rsidRPr="008A7C79">
        <w:rPr>
          <w:rFonts w:cs="Arial"/>
          <w:lang w:eastAsia="en-GB"/>
        </w:rPr>
        <w:t>the criteria for priorities</w:t>
      </w:r>
      <w:r w:rsidR="00FF27D9" w:rsidRPr="008A7C79">
        <w:rPr>
          <w:rFonts w:cs="Arial"/>
          <w:lang w:eastAsia="en-GB"/>
        </w:rPr>
        <w:t xml:space="preserve"> are contained in appendix 1.</w:t>
      </w:r>
    </w:p>
    <w:p w:rsidR="00F360DB" w:rsidRPr="00270313" w:rsidRDefault="00F360DB" w:rsidP="00270313">
      <w:pPr>
        <w:autoSpaceDE w:val="0"/>
        <w:autoSpaceDN w:val="0"/>
        <w:adjustRightInd w:val="0"/>
        <w:ind w:right="110"/>
        <w:rPr>
          <w:rFonts w:cs="Arial"/>
          <w:lang w:eastAsia="en-GB"/>
        </w:rPr>
      </w:pPr>
    </w:p>
    <w:p w:rsidR="00F360DB" w:rsidRPr="00DB6797" w:rsidRDefault="00520370" w:rsidP="00270313">
      <w:pPr>
        <w:autoSpaceDE w:val="0"/>
        <w:autoSpaceDN w:val="0"/>
        <w:adjustRightInd w:val="0"/>
        <w:ind w:right="110"/>
        <w:rPr>
          <w:rFonts w:cs="Arial"/>
          <w:b/>
          <w:lang w:eastAsia="en-GB"/>
        </w:rPr>
      </w:pPr>
      <w:r w:rsidRPr="00DB6797">
        <w:rPr>
          <w:rFonts w:cs="Arial"/>
          <w:b/>
          <w:lang w:eastAsia="en-GB"/>
        </w:rPr>
        <w:t>Response times</w:t>
      </w:r>
      <w:r w:rsidR="0080607F" w:rsidRPr="00DB6797">
        <w:rPr>
          <w:rFonts w:cs="Arial"/>
          <w:b/>
          <w:lang w:eastAsia="en-GB"/>
        </w:rPr>
        <w:t xml:space="preserve"> &amp; performance</w:t>
      </w:r>
    </w:p>
    <w:p w:rsidR="00605C6B" w:rsidRPr="00270313" w:rsidRDefault="00605C6B" w:rsidP="00270313">
      <w:pPr>
        <w:rPr>
          <w:rFonts w:cs="Arial"/>
        </w:rPr>
      </w:pPr>
    </w:p>
    <w:p w:rsidR="0080607F" w:rsidRPr="008A7C79" w:rsidRDefault="0080607F" w:rsidP="008A7C79">
      <w:pPr>
        <w:pStyle w:val="ListParagraph"/>
        <w:numPr>
          <w:ilvl w:val="0"/>
          <w:numId w:val="8"/>
        </w:numPr>
        <w:rPr>
          <w:rFonts w:cs="Arial"/>
        </w:rPr>
      </w:pPr>
      <w:r w:rsidRPr="008A7C79">
        <w:rPr>
          <w:rFonts w:cs="Arial"/>
        </w:rPr>
        <w:t xml:space="preserve">Complaints about planning contraventions are responded to </w:t>
      </w:r>
      <w:r w:rsidR="00DD6A2D" w:rsidRPr="008A7C79">
        <w:rPr>
          <w:rFonts w:cs="Arial"/>
        </w:rPr>
        <w:t>in accordance with their priority. High priority complaints are responded to within 2 days, medium within 2 weeks and low priority within a month. The time taken in 2014/15 to the first action is provided in the table below:</w:t>
      </w:r>
    </w:p>
    <w:p w:rsidR="00DD6A2D" w:rsidRDefault="00DD6A2D" w:rsidP="00270313">
      <w:pPr>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64"/>
        <w:gridCol w:w="2064"/>
      </w:tblGrid>
      <w:tr w:rsidR="00DD6A2D" w:rsidRPr="009B5A50" w:rsidTr="00B80E92">
        <w:tc>
          <w:tcPr>
            <w:tcW w:w="2064" w:type="dxa"/>
            <w:shd w:val="clear" w:color="auto" w:fill="auto"/>
          </w:tcPr>
          <w:p w:rsidR="00DD6A2D" w:rsidRPr="009B5A50" w:rsidRDefault="00DD6A2D" w:rsidP="00270313">
            <w:pPr>
              <w:rPr>
                <w:rFonts w:cs="Arial"/>
              </w:rPr>
            </w:pPr>
            <w:r w:rsidRPr="009B5A50">
              <w:rPr>
                <w:rFonts w:cs="Arial"/>
              </w:rPr>
              <w:t>High</w:t>
            </w:r>
          </w:p>
        </w:tc>
        <w:tc>
          <w:tcPr>
            <w:tcW w:w="2064" w:type="dxa"/>
            <w:shd w:val="clear" w:color="auto" w:fill="auto"/>
          </w:tcPr>
          <w:p w:rsidR="00DD6A2D" w:rsidRPr="009B5A50" w:rsidRDefault="00DD6A2D" w:rsidP="00270313">
            <w:pPr>
              <w:rPr>
                <w:rFonts w:cs="Arial"/>
              </w:rPr>
            </w:pPr>
            <w:r w:rsidRPr="009B5A50">
              <w:rPr>
                <w:rFonts w:cs="Arial"/>
              </w:rPr>
              <w:t>Medium</w:t>
            </w:r>
          </w:p>
        </w:tc>
        <w:tc>
          <w:tcPr>
            <w:tcW w:w="2064" w:type="dxa"/>
            <w:shd w:val="clear" w:color="auto" w:fill="auto"/>
          </w:tcPr>
          <w:p w:rsidR="00DD6A2D" w:rsidRPr="009B5A50" w:rsidRDefault="00DD6A2D" w:rsidP="00270313">
            <w:pPr>
              <w:rPr>
                <w:rFonts w:cs="Arial"/>
              </w:rPr>
            </w:pPr>
            <w:r w:rsidRPr="009B5A50">
              <w:rPr>
                <w:rFonts w:cs="Arial"/>
              </w:rPr>
              <w:t>Low</w:t>
            </w:r>
          </w:p>
        </w:tc>
      </w:tr>
      <w:tr w:rsidR="00DD6A2D" w:rsidRPr="009B5A50" w:rsidTr="00B80E92">
        <w:tc>
          <w:tcPr>
            <w:tcW w:w="2064" w:type="dxa"/>
            <w:shd w:val="clear" w:color="auto" w:fill="auto"/>
          </w:tcPr>
          <w:p w:rsidR="00DD6A2D" w:rsidRPr="009B5A50" w:rsidRDefault="002C5E41" w:rsidP="00270313">
            <w:pPr>
              <w:rPr>
                <w:rFonts w:cs="Arial"/>
              </w:rPr>
            </w:pPr>
            <w:r w:rsidRPr="009B5A50">
              <w:rPr>
                <w:rFonts w:cs="Arial"/>
              </w:rPr>
              <w:t>2</w:t>
            </w:r>
            <w:r w:rsidR="00DD6A2D" w:rsidRPr="009B5A50">
              <w:rPr>
                <w:rFonts w:cs="Arial"/>
              </w:rPr>
              <w:t xml:space="preserve"> days</w:t>
            </w:r>
          </w:p>
        </w:tc>
        <w:tc>
          <w:tcPr>
            <w:tcW w:w="2064" w:type="dxa"/>
            <w:shd w:val="clear" w:color="auto" w:fill="auto"/>
          </w:tcPr>
          <w:p w:rsidR="00DD6A2D" w:rsidRPr="009B5A50" w:rsidRDefault="00DD6A2D" w:rsidP="00270313">
            <w:pPr>
              <w:rPr>
                <w:rFonts w:cs="Arial"/>
              </w:rPr>
            </w:pPr>
            <w:r w:rsidRPr="009B5A50">
              <w:rPr>
                <w:rFonts w:cs="Arial"/>
              </w:rPr>
              <w:t>2.5 weeks</w:t>
            </w:r>
          </w:p>
        </w:tc>
        <w:tc>
          <w:tcPr>
            <w:tcW w:w="2064" w:type="dxa"/>
            <w:shd w:val="clear" w:color="auto" w:fill="auto"/>
          </w:tcPr>
          <w:p w:rsidR="00DD6A2D" w:rsidRPr="009B5A50" w:rsidRDefault="00DD6A2D" w:rsidP="00270313">
            <w:pPr>
              <w:rPr>
                <w:rFonts w:cs="Arial"/>
              </w:rPr>
            </w:pPr>
            <w:r w:rsidRPr="009B5A50">
              <w:rPr>
                <w:rFonts w:cs="Arial"/>
              </w:rPr>
              <w:t>2 weeks</w:t>
            </w:r>
          </w:p>
        </w:tc>
      </w:tr>
    </w:tbl>
    <w:p w:rsidR="002C5E41" w:rsidRDefault="002C5E41" w:rsidP="00270313">
      <w:pPr>
        <w:rPr>
          <w:rFonts w:cs="Arial"/>
        </w:rPr>
      </w:pPr>
    </w:p>
    <w:p w:rsidR="009820EA" w:rsidRPr="008A7C79" w:rsidRDefault="00520370" w:rsidP="008A7C79">
      <w:pPr>
        <w:pStyle w:val="ListParagraph"/>
        <w:numPr>
          <w:ilvl w:val="0"/>
          <w:numId w:val="8"/>
        </w:numPr>
        <w:rPr>
          <w:rFonts w:cs="Arial"/>
        </w:rPr>
      </w:pPr>
      <w:r w:rsidRPr="008A7C79">
        <w:rPr>
          <w:rFonts w:cs="Arial"/>
        </w:rPr>
        <w:t xml:space="preserve">Whilst some cases are quick to resolve, </w:t>
      </w:r>
      <w:r w:rsidR="000523FA" w:rsidRPr="008A7C79">
        <w:rPr>
          <w:rFonts w:cs="Arial"/>
        </w:rPr>
        <w:t>the majority</w:t>
      </w:r>
      <w:r w:rsidRPr="008A7C79">
        <w:rPr>
          <w:rFonts w:cs="Arial"/>
        </w:rPr>
        <w:t xml:space="preserve"> are complicated and the timescales involved mean that </w:t>
      </w:r>
      <w:r w:rsidR="000523FA" w:rsidRPr="008A7C79">
        <w:rPr>
          <w:rFonts w:cs="Arial"/>
        </w:rPr>
        <w:t xml:space="preserve">many cases take a considerable time before an application is approved or </w:t>
      </w:r>
      <w:r w:rsidR="00DD5609" w:rsidRPr="008A7C79">
        <w:rPr>
          <w:rFonts w:cs="Arial"/>
        </w:rPr>
        <w:t xml:space="preserve">formal action is taken. </w:t>
      </w:r>
      <w:r w:rsidR="006D1912" w:rsidRPr="008A7C79">
        <w:rPr>
          <w:rFonts w:cs="Arial"/>
        </w:rPr>
        <w:t>The a</w:t>
      </w:r>
      <w:r w:rsidRPr="008A7C79">
        <w:rPr>
          <w:rFonts w:cs="Arial"/>
        </w:rPr>
        <w:t>verage time in w</w:t>
      </w:r>
      <w:r w:rsidR="00F360DB" w:rsidRPr="008A7C79">
        <w:rPr>
          <w:rFonts w:cs="Arial"/>
        </w:rPr>
        <w:t xml:space="preserve">eeks to resolve </w:t>
      </w:r>
      <w:r w:rsidRPr="008A7C79">
        <w:rPr>
          <w:rFonts w:cs="Arial"/>
        </w:rPr>
        <w:t xml:space="preserve">all cases </w:t>
      </w:r>
      <w:r w:rsidR="00F360DB" w:rsidRPr="008A7C79">
        <w:rPr>
          <w:rFonts w:cs="Arial"/>
        </w:rPr>
        <w:t>by priority</w:t>
      </w:r>
      <w:r w:rsidR="006D1912" w:rsidRPr="008A7C79">
        <w:rPr>
          <w:rFonts w:cs="Arial"/>
        </w:rPr>
        <w:t xml:space="preserve"> for the last 6 years is given below</w:t>
      </w:r>
      <w:r w:rsidRPr="008A7C79">
        <w:rPr>
          <w:rFonts w:cs="Arial"/>
        </w:rPr>
        <w:t>:</w:t>
      </w:r>
    </w:p>
    <w:p w:rsidR="009820EA" w:rsidRPr="00270313" w:rsidRDefault="009820EA" w:rsidP="00270313">
      <w:pPr>
        <w:rPr>
          <w:rFonts w:cs="Arial"/>
        </w:rPr>
      </w:pPr>
    </w:p>
    <w:tbl>
      <w:tblPr>
        <w:tblW w:w="61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8"/>
        <w:gridCol w:w="1548"/>
        <w:gridCol w:w="1548"/>
      </w:tblGrid>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High</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Medium</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Low</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2010-11</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18</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24</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13</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2011-12</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11</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21</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10</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2012-13</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29</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22</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13</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2013-14</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22</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21</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10</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2014-15</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15</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16</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10</w:t>
            </w:r>
          </w:p>
        </w:tc>
      </w:tr>
      <w:tr w:rsidR="009820EA" w:rsidRPr="00270313" w:rsidTr="00B80E92">
        <w:trPr>
          <w:trHeight w:val="300"/>
        </w:trPr>
        <w:tc>
          <w:tcPr>
            <w:tcW w:w="1548" w:type="dxa"/>
            <w:shd w:val="clear" w:color="auto" w:fill="auto"/>
            <w:noWrap/>
            <w:vAlign w:val="bottom"/>
            <w:hideMark/>
          </w:tcPr>
          <w:p w:rsidR="009820EA" w:rsidRPr="00270313" w:rsidRDefault="009820EA" w:rsidP="00270313">
            <w:pPr>
              <w:rPr>
                <w:rFonts w:cs="Arial"/>
                <w:color w:val="000000"/>
                <w:lang w:eastAsia="en-GB"/>
              </w:rPr>
            </w:pPr>
            <w:r w:rsidRPr="00270313">
              <w:rPr>
                <w:rFonts w:cs="Arial"/>
                <w:color w:val="000000"/>
                <w:lang w:eastAsia="en-GB"/>
              </w:rPr>
              <w:t>2015-16</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11</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9</w:t>
            </w:r>
          </w:p>
        </w:tc>
        <w:tc>
          <w:tcPr>
            <w:tcW w:w="1548" w:type="dxa"/>
            <w:shd w:val="clear" w:color="auto" w:fill="auto"/>
            <w:noWrap/>
            <w:vAlign w:val="bottom"/>
            <w:hideMark/>
          </w:tcPr>
          <w:p w:rsidR="009820EA" w:rsidRPr="00270313" w:rsidRDefault="009820EA" w:rsidP="00270313">
            <w:pPr>
              <w:jc w:val="center"/>
              <w:rPr>
                <w:rFonts w:cs="Arial"/>
                <w:color w:val="000000"/>
                <w:lang w:eastAsia="en-GB"/>
              </w:rPr>
            </w:pPr>
            <w:r w:rsidRPr="00270313">
              <w:rPr>
                <w:rFonts w:cs="Arial"/>
                <w:color w:val="000000"/>
                <w:lang w:eastAsia="en-GB"/>
              </w:rPr>
              <w:t>7</w:t>
            </w:r>
          </w:p>
        </w:tc>
      </w:tr>
    </w:tbl>
    <w:p w:rsidR="009820EA" w:rsidRPr="00270313" w:rsidRDefault="009820EA" w:rsidP="00270313">
      <w:pPr>
        <w:rPr>
          <w:rFonts w:cs="Arial"/>
        </w:rPr>
      </w:pPr>
    </w:p>
    <w:p w:rsidR="006E75CA" w:rsidRPr="00DB6797" w:rsidRDefault="005E0E70" w:rsidP="006E75CA">
      <w:pPr>
        <w:rPr>
          <w:rFonts w:cs="Arial"/>
          <w:b/>
        </w:rPr>
      </w:pPr>
      <w:r w:rsidRPr="00DB6797">
        <w:rPr>
          <w:rFonts w:cs="Arial"/>
          <w:b/>
        </w:rPr>
        <w:t>Investigation outcomes</w:t>
      </w:r>
      <w:r w:rsidR="006E75CA" w:rsidRPr="00DB6797">
        <w:rPr>
          <w:rFonts w:cs="Arial"/>
          <w:b/>
        </w:rPr>
        <w:t xml:space="preserve"> and enforcement activity</w:t>
      </w:r>
    </w:p>
    <w:p w:rsidR="005E0E70" w:rsidRDefault="005E0E70" w:rsidP="00270313">
      <w:pPr>
        <w:rPr>
          <w:rFonts w:cs="Arial"/>
        </w:rPr>
      </w:pPr>
    </w:p>
    <w:p w:rsidR="005E0E70" w:rsidRPr="008A7C79" w:rsidRDefault="005E0E70" w:rsidP="008A7C79">
      <w:pPr>
        <w:pStyle w:val="ListParagraph"/>
        <w:numPr>
          <w:ilvl w:val="0"/>
          <w:numId w:val="8"/>
        </w:numPr>
        <w:rPr>
          <w:rFonts w:cs="Arial"/>
        </w:rPr>
      </w:pPr>
      <w:r w:rsidRPr="008A7C79">
        <w:rPr>
          <w:rFonts w:cs="Arial"/>
        </w:rPr>
        <w:t xml:space="preserve">There are a </w:t>
      </w:r>
      <w:r w:rsidR="0080607F" w:rsidRPr="008A7C79">
        <w:rPr>
          <w:rFonts w:cs="Arial"/>
        </w:rPr>
        <w:t xml:space="preserve">number </w:t>
      </w:r>
      <w:r w:rsidRPr="008A7C79">
        <w:rPr>
          <w:rFonts w:cs="Arial"/>
        </w:rPr>
        <w:t>of potential outcomes following an investigation into an alleged breach of planning legislation</w:t>
      </w:r>
      <w:r w:rsidR="0080607F" w:rsidRPr="008A7C79">
        <w:rPr>
          <w:rFonts w:cs="Arial"/>
        </w:rPr>
        <w:t>, ranging from no action to the service of legal notices</w:t>
      </w:r>
      <w:r w:rsidRPr="008A7C79">
        <w:rPr>
          <w:rFonts w:cs="Arial"/>
        </w:rPr>
        <w:t>. The</w:t>
      </w:r>
      <w:r w:rsidR="00DB6797" w:rsidRPr="008A7C79">
        <w:rPr>
          <w:rFonts w:cs="Arial"/>
        </w:rPr>
        <w:t xml:space="preserve"> possible outcomes </w:t>
      </w:r>
      <w:r w:rsidRPr="008A7C79">
        <w:rPr>
          <w:rFonts w:cs="Arial"/>
        </w:rPr>
        <w:t xml:space="preserve">are contained in appendix 2. </w:t>
      </w:r>
      <w:r w:rsidR="0080607F" w:rsidRPr="008A7C79">
        <w:rPr>
          <w:rFonts w:cs="Arial"/>
        </w:rPr>
        <w:t xml:space="preserve">The approach taken will depend on the circumstances of each case. </w:t>
      </w:r>
    </w:p>
    <w:p w:rsidR="00EF3C59" w:rsidRDefault="00EF3C59" w:rsidP="00270313">
      <w:pPr>
        <w:rPr>
          <w:rFonts w:cs="Arial"/>
        </w:rPr>
      </w:pPr>
    </w:p>
    <w:p w:rsidR="00DD5609" w:rsidRPr="008A7C79" w:rsidRDefault="0080607F" w:rsidP="008A7C79">
      <w:pPr>
        <w:pStyle w:val="ListParagraph"/>
        <w:numPr>
          <w:ilvl w:val="0"/>
          <w:numId w:val="8"/>
        </w:numPr>
        <w:rPr>
          <w:rFonts w:cs="Arial"/>
        </w:rPr>
      </w:pPr>
      <w:r w:rsidRPr="008A7C79">
        <w:rPr>
          <w:rFonts w:cs="Arial"/>
        </w:rPr>
        <w:t xml:space="preserve">All local authorities are required to submit regular data to the government on planning functions and this includes enforcement activity. It is therefore possible to compare the level of enforcement in Oxford with all the other district councils in England. </w:t>
      </w:r>
      <w:r w:rsidR="00AD7560" w:rsidRPr="008A7C79">
        <w:rPr>
          <w:rFonts w:cs="Arial"/>
        </w:rPr>
        <w:t xml:space="preserve">The latest data up to December 2015 showed that Oxford City Council </w:t>
      </w:r>
      <w:r w:rsidR="00AD7560" w:rsidRPr="008A7C79">
        <w:rPr>
          <w:rFonts w:cs="Arial"/>
        </w:rPr>
        <w:lastRenderedPageBreak/>
        <w:t>ranked 7</w:t>
      </w:r>
      <w:r w:rsidR="00AD7560" w:rsidRPr="008A7C79">
        <w:rPr>
          <w:rFonts w:cs="Arial"/>
          <w:vertAlign w:val="superscript"/>
        </w:rPr>
        <w:t>th</w:t>
      </w:r>
      <w:r w:rsidR="00AD7560" w:rsidRPr="008A7C79">
        <w:rPr>
          <w:rFonts w:cs="Arial"/>
        </w:rPr>
        <w:t xml:space="preserve"> out of 201 district councils for</w:t>
      </w:r>
      <w:r w:rsidR="006E75CA" w:rsidRPr="008A7C79">
        <w:rPr>
          <w:rFonts w:cs="Arial"/>
        </w:rPr>
        <w:t xml:space="preserve"> overall</w:t>
      </w:r>
      <w:r w:rsidR="00AD7560" w:rsidRPr="008A7C79">
        <w:rPr>
          <w:rFonts w:cs="Arial"/>
        </w:rPr>
        <w:t xml:space="preserve"> levels of planning enforcement. See appendix 3. When compared with every local planning authority</w:t>
      </w:r>
      <w:r w:rsidR="006E75CA" w:rsidRPr="008A7C79">
        <w:rPr>
          <w:rFonts w:cs="Arial"/>
        </w:rPr>
        <w:t xml:space="preserve"> in England</w:t>
      </w:r>
      <w:r w:rsidR="00AD7560" w:rsidRPr="008A7C79">
        <w:rPr>
          <w:rFonts w:cs="Arial"/>
        </w:rPr>
        <w:t>, including London Boroughs and Unitary Councils</w:t>
      </w:r>
      <w:r w:rsidR="006E75CA" w:rsidRPr="008A7C79">
        <w:rPr>
          <w:rFonts w:cs="Arial"/>
        </w:rPr>
        <w:t>,</w:t>
      </w:r>
      <w:r w:rsidR="00AD7560" w:rsidRPr="008A7C79">
        <w:rPr>
          <w:rFonts w:cs="Arial"/>
        </w:rPr>
        <w:t xml:space="preserve"> Oxford </w:t>
      </w:r>
      <w:r w:rsidR="006D1912" w:rsidRPr="008A7C79">
        <w:rPr>
          <w:rFonts w:cs="Arial"/>
        </w:rPr>
        <w:t xml:space="preserve">was </w:t>
      </w:r>
      <w:r w:rsidR="00AD7560" w:rsidRPr="008A7C79">
        <w:rPr>
          <w:rFonts w:cs="Arial"/>
        </w:rPr>
        <w:t>ranked 37</w:t>
      </w:r>
      <w:r w:rsidR="00AD7560" w:rsidRPr="008A7C79">
        <w:rPr>
          <w:rFonts w:cs="Arial"/>
          <w:vertAlign w:val="superscript"/>
        </w:rPr>
        <w:t>th</w:t>
      </w:r>
      <w:r w:rsidR="006E75CA" w:rsidRPr="008A7C79">
        <w:rPr>
          <w:rFonts w:cs="Arial"/>
        </w:rPr>
        <w:t xml:space="preserve">. </w:t>
      </w:r>
      <w:r w:rsidR="005246C2" w:rsidRPr="008A7C79">
        <w:rPr>
          <w:rFonts w:cs="Arial"/>
        </w:rPr>
        <w:t xml:space="preserve">This indicates that, despite </w:t>
      </w:r>
      <w:r w:rsidR="002C5E41" w:rsidRPr="008A7C79">
        <w:rPr>
          <w:rFonts w:cs="Arial"/>
        </w:rPr>
        <w:t xml:space="preserve">the </w:t>
      </w:r>
      <w:r w:rsidR="005246C2" w:rsidRPr="008A7C79">
        <w:rPr>
          <w:rFonts w:cs="Arial"/>
        </w:rPr>
        <w:t>perceptions, Oxford City Council has one of the strongest enforcement regimes in England</w:t>
      </w:r>
      <w:r w:rsidR="00965260" w:rsidRPr="008A7C79">
        <w:rPr>
          <w:rFonts w:cs="Arial"/>
        </w:rPr>
        <w:t xml:space="preserve"> based on the numbers of legal notices served</w:t>
      </w:r>
      <w:r w:rsidR="005246C2" w:rsidRPr="008A7C79">
        <w:rPr>
          <w:rFonts w:cs="Arial"/>
        </w:rPr>
        <w:t>.</w:t>
      </w:r>
    </w:p>
    <w:p w:rsidR="006E75CA" w:rsidRDefault="006E75CA" w:rsidP="00270313">
      <w:pPr>
        <w:rPr>
          <w:rFonts w:cs="Arial"/>
        </w:rPr>
      </w:pPr>
    </w:p>
    <w:p w:rsidR="00DB6797" w:rsidRPr="00FD18CB" w:rsidRDefault="00DB6797" w:rsidP="00270313">
      <w:pPr>
        <w:rPr>
          <w:rFonts w:cs="Arial"/>
          <w:b/>
        </w:rPr>
      </w:pPr>
      <w:r w:rsidRPr="00FD18CB">
        <w:rPr>
          <w:rFonts w:cs="Arial"/>
          <w:b/>
        </w:rPr>
        <w:t>Restructure of Planning and Regulatory Services</w:t>
      </w:r>
      <w:r w:rsidR="00FD18CB" w:rsidRPr="00FD18CB">
        <w:rPr>
          <w:rFonts w:cs="Arial"/>
          <w:b/>
        </w:rPr>
        <w:t xml:space="preserve"> and future service delivery</w:t>
      </w:r>
    </w:p>
    <w:p w:rsidR="00DB6797" w:rsidRDefault="00DB6797" w:rsidP="00270313">
      <w:pPr>
        <w:rPr>
          <w:rFonts w:cs="Arial"/>
        </w:rPr>
      </w:pPr>
    </w:p>
    <w:p w:rsidR="00DF344E" w:rsidRPr="008A7C79" w:rsidRDefault="00DB6797" w:rsidP="008A7C79">
      <w:pPr>
        <w:pStyle w:val="ListParagraph"/>
        <w:numPr>
          <w:ilvl w:val="0"/>
          <w:numId w:val="8"/>
        </w:numPr>
        <w:rPr>
          <w:rFonts w:cs="Arial"/>
        </w:rPr>
      </w:pPr>
      <w:r w:rsidRPr="008A7C79">
        <w:rPr>
          <w:rFonts w:cs="Arial"/>
        </w:rPr>
        <w:t xml:space="preserve">The service has recently been restructured and </w:t>
      </w:r>
      <w:r w:rsidR="00A51C02" w:rsidRPr="008A7C79">
        <w:rPr>
          <w:rFonts w:cs="Arial"/>
        </w:rPr>
        <w:t>a number of changes have been introduced</w:t>
      </w:r>
      <w:r w:rsidR="00965260" w:rsidRPr="008A7C79">
        <w:rPr>
          <w:rFonts w:cs="Arial"/>
        </w:rPr>
        <w:t>.</w:t>
      </w:r>
      <w:r w:rsidRPr="008A7C79">
        <w:rPr>
          <w:rFonts w:cs="Arial"/>
        </w:rPr>
        <w:t xml:space="preserve"> </w:t>
      </w:r>
      <w:r w:rsidR="00DF344E" w:rsidRPr="008A7C79">
        <w:rPr>
          <w:rFonts w:cs="Arial"/>
        </w:rPr>
        <w:t xml:space="preserve">Planning Enforcement has been moved out of Development Management </w:t>
      </w:r>
      <w:r w:rsidR="00A51C02" w:rsidRPr="008A7C79">
        <w:rPr>
          <w:rFonts w:cs="Arial"/>
        </w:rPr>
        <w:t xml:space="preserve">and located as part of a new combined enforcement team with the Private Sector Safety team in Environmental Health. </w:t>
      </w:r>
      <w:r w:rsidR="00DF344E" w:rsidRPr="008A7C79">
        <w:rPr>
          <w:rFonts w:cs="Arial"/>
        </w:rPr>
        <w:t>The changes will deliver greater resilience through restructuring the activities into a single team approach</w:t>
      </w:r>
      <w:r w:rsidR="00A51C02" w:rsidRPr="008A7C79">
        <w:rPr>
          <w:rFonts w:cs="Arial"/>
        </w:rPr>
        <w:t>.</w:t>
      </w:r>
      <w:r w:rsidR="00DF344E" w:rsidRPr="008A7C79">
        <w:rPr>
          <w:rFonts w:cs="Arial"/>
        </w:rPr>
        <w:t xml:space="preserve"> </w:t>
      </w:r>
    </w:p>
    <w:p w:rsidR="00965260" w:rsidRDefault="00965260" w:rsidP="00270313">
      <w:pPr>
        <w:rPr>
          <w:rFonts w:cs="Arial"/>
        </w:rPr>
      </w:pPr>
    </w:p>
    <w:p w:rsidR="00DF344E" w:rsidRPr="008A7C79" w:rsidRDefault="00DF344E" w:rsidP="008A7C79">
      <w:pPr>
        <w:pStyle w:val="ListParagraph"/>
        <w:numPr>
          <w:ilvl w:val="0"/>
          <w:numId w:val="8"/>
        </w:numPr>
        <w:rPr>
          <w:rFonts w:cs="Arial"/>
        </w:rPr>
      </w:pPr>
      <w:r w:rsidRPr="008A7C79">
        <w:rPr>
          <w:rFonts w:cs="Arial"/>
        </w:rPr>
        <w:t xml:space="preserve">This change will enable an improved focus on pro-active work as well as a wider sharing of knowledge, skills and experience amongst members of the team. </w:t>
      </w:r>
      <w:r w:rsidR="00FD18CB" w:rsidRPr="008A7C79">
        <w:rPr>
          <w:rFonts w:cs="Arial"/>
        </w:rPr>
        <w:t xml:space="preserve">Environmental Health Officers are often involved in the same cases as </w:t>
      </w:r>
      <w:r w:rsidRPr="008A7C79">
        <w:rPr>
          <w:rFonts w:cs="Arial"/>
        </w:rPr>
        <w:t xml:space="preserve">Planning Enforcement Officers </w:t>
      </w:r>
      <w:r w:rsidR="00FD18CB" w:rsidRPr="008A7C79">
        <w:rPr>
          <w:rFonts w:cs="Arial"/>
        </w:rPr>
        <w:t>and so they will be able to provide evidential support</w:t>
      </w:r>
      <w:r w:rsidR="00224E97" w:rsidRPr="008A7C79">
        <w:rPr>
          <w:rFonts w:cs="Arial"/>
        </w:rPr>
        <w:t xml:space="preserve"> to increase capacity</w:t>
      </w:r>
      <w:r w:rsidR="00FD18CB" w:rsidRPr="008A7C79">
        <w:rPr>
          <w:rFonts w:cs="Arial"/>
        </w:rPr>
        <w:t xml:space="preserve">. Planning Enforcement Officers </w:t>
      </w:r>
      <w:r w:rsidRPr="008A7C79">
        <w:rPr>
          <w:rFonts w:cs="Arial"/>
        </w:rPr>
        <w:t xml:space="preserve">will </w:t>
      </w:r>
      <w:r w:rsidR="00FD18CB" w:rsidRPr="008A7C79">
        <w:rPr>
          <w:rFonts w:cs="Arial"/>
        </w:rPr>
        <w:t xml:space="preserve">no longer </w:t>
      </w:r>
      <w:r w:rsidRPr="008A7C79">
        <w:rPr>
          <w:rFonts w:cs="Arial"/>
        </w:rPr>
        <w:t xml:space="preserve">deal with </w:t>
      </w:r>
      <w:r w:rsidR="00FD18CB" w:rsidRPr="008A7C79">
        <w:rPr>
          <w:rFonts w:cs="Arial"/>
        </w:rPr>
        <w:t xml:space="preserve">cases once a planning application has been made and the application will transfer to Development Management </w:t>
      </w:r>
      <w:r w:rsidR="003366D6" w:rsidRPr="008A7C79">
        <w:rPr>
          <w:rFonts w:cs="Arial"/>
        </w:rPr>
        <w:t>with</w:t>
      </w:r>
      <w:r w:rsidR="00FD18CB" w:rsidRPr="008A7C79">
        <w:rPr>
          <w:rFonts w:cs="Arial"/>
        </w:rPr>
        <w:t xml:space="preserve"> all other planning applications.</w:t>
      </w:r>
    </w:p>
    <w:p w:rsidR="00FD18CB" w:rsidRDefault="00FD18CB" w:rsidP="00270313">
      <w:pPr>
        <w:rPr>
          <w:rFonts w:cs="Arial"/>
        </w:rPr>
      </w:pPr>
    </w:p>
    <w:p w:rsidR="00FD18CB" w:rsidRPr="008A7C79" w:rsidRDefault="00FD18CB" w:rsidP="008A7C79">
      <w:pPr>
        <w:pStyle w:val="ListParagraph"/>
        <w:numPr>
          <w:ilvl w:val="0"/>
          <w:numId w:val="8"/>
        </w:numPr>
        <w:rPr>
          <w:rFonts w:cs="Arial"/>
        </w:rPr>
      </w:pPr>
      <w:r w:rsidRPr="008A7C79">
        <w:rPr>
          <w:rFonts w:cs="Arial"/>
        </w:rPr>
        <w:t>An Internal Audit was carried out in March 2016 on enforcement in regulatory services including planning enforcement. The report gave the enforcement function a moderate rating (the second highest rating) and concluded that</w:t>
      </w:r>
      <w:r w:rsidR="003366D6" w:rsidRPr="008A7C79">
        <w:rPr>
          <w:rFonts w:cs="Arial"/>
        </w:rPr>
        <w:t>,</w:t>
      </w:r>
      <w:r w:rsidRPr="008A7C79">
        <w:rPr>
          <w:rFonts w:cs="Arial"/>
        </w:rPr>
        <w:t xml:space="preserve"> in the main</w:t>
      </w:r>
      <w:r w:rsidR="003366D6" w:rsidRPr="008A7C79">
        <w:rPr>
          <w:rFonts w:cs="Arial"/>
        </w:rPr>
        <w:t>,</w:t>
      </w:r>
      <w:r w:rsidRPr="008A7C79">
        <w:rPr>
          <w:rFonts w:cs="Arial"/>
        </w:rPr>
        <w:t xml:space="preserve"> there are appropriate procedures and controls in place to mitigate the key risks reviewed albeit with some that are not fully effective.</w:t>
      </w:r>
    </w:p>
    <w:p w:rsidR="00FD18CB" w:rsidRPr="00FD18CB" w:rsidRDefault="00FD18CB" w:rsidP="00FD18CB">
      <w:pPr>
        <w:rPr>
          <w:rFonts w:cs="Arial"/>
        </w:rPr>
      </w:pPr>
    </w:p>
    <w:p w:rsidR="00FD18CB" w:rsidRPr="008A7C79" w:rsidRDefault="00FD18CB" w:rsidP="008A7C79">
      <w:pPr>
        <w:pStyle w:val="ListParagraph"/>
        <w:numPr>
          <w:ilvl w:val="0"/>
          <w:numId w:val="8"/>
        </w:numPr>
        <w:rPr>
          <w:rFonts w:cs="Arial"/>
        </w:rPr>
      </w:pPr>
      <w:r w:rsidRPr="008A7C79">
        <w:rPr>
          <w:rFonts w:cs="Arial"/>
        </w:rPr>
        <w:t xml:space="preserve">The report made the following recommendations which will be used to </w:t>
      </w:r>
      <w:r w:rsidR="00C633E3" w:rsidRPr="008A7C79">
        <w:rPr>
          <w:rFonts w:cs="Arial"/>
        </w:rPr>
        <w:t>improve</w:t>
      </w:r>
      <w:r w:rsidRPr="008A7C79">
        <w:rPr>
          <w:rFonts w:cs="Arial"/>
        </w:rPr>
        <w:t xml:space="preserve"> the Planning Enforcement Service</w:t>
      </w:r>
      <w:r w:rsidR="00C633E3" w:rsidRPr="008A7C79">
        <w:rPr>
          <w:rFonts w:cs="Arial"/>
        </w:rPr>
        <w:t>2016/17</w:t>
      </w:r>
      <w:r w:rsidRPr="008A7C79">
        <w:rPr>
          <w:rFonts w:cs="Arial"/>
        </w:rPr>
        <w:t>:</w:t>
      </w:r>
    </w:p>
    <w:p w:rsidR="00224E97" w:rsidRDefault="00224E97" w:rsidP="00FD18CB">
      <w:pPr>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633E3" w:rsidRPr="009B5A50" w:rsidTr="00337BE1">
        <w:tc>
          <w:tcPr>
            <w:tcW w:w="4261" w:type="dxa"/>
            <w:shd w:val="clear" w:color="auto" w:fill="auto"/>
          </w:tcPr>
          <w:p w:rsidR="00C633E3" w:rsidRPr="009B5A50" w:rsidRDefault="00965260" w:rsidP="00FD18CB">
            <w:pPr>
              <w:rPr>
                <w:rFonts w:cs="Arial"/>
              </w:rPr>
            </w:pPr>
            <w:r>
              <w:rPr>
                <w:rFonts w:cs="Arial"/>
              </w:rPr>
              <w:br w:type="page"/>
            </w:r>
            <w:r w:rsidR="00C633E3" w:rsidRPr="009B5A50">
              <w:rPr>
                <w:rFonts w:cs="Arial"/>
              </w:rPr>
              <w:t>Recommendation</w:t>
            </w:r>
          </w:p>
        </w:tc>
        <w:tc>
          <w:tcPr>
            <w:tcW w:w="4261" w:type="dxa"/>
            <w:shd w:val="clear" w:color="auto" w:fill="auto"/>
          </w:tcPr>
          <w:p w:rsidR="00C633E3" w:rsidRPr="009B5A50" w:rsidRDefault="00C633E3" w:rsidP="00FD18CB">
            <w:pPr>
              <w:rPr>
                <w:rFonts w:cs="Arial"/>
              </w:rPr>
            </w:pPr>
            <w:r w:rsidRPr="009B5A50">
              <w:rPr>
                <w:rFonts w:cs="Arial"/>
              </w:rPr>
              <w:t>Action</w:t>
            </w:r>
          </w:p>
        </w:tc>
      </w:tr>
      <w:tr w:rsidR="00C633E3" w:rsidRPr="009B5A50" w:rsidTr="00337BE1">
        <w:tc>
          <w:tcPr>
            <w:tcW w:w="4261" w:type="dxa"/>
            <w:shd w:val="clear" w:color="auto" w:fill="auto"/>
          </w:tcPr>
          <w:p w:rsidR="00C633E3" w:rsidRPr="009B5A50" w:rsidRDefault="00C633E3" w:rsidP="00FD18CB">
            <w:pPr>
              <w:rPr>
                <w:rFonts w:cs="Arial"/>
              </w:rPr>
            </w:pPr>
            <w:r w:rsidRPr="009B5A50">
              <w:rPr>
                <w:rFonts w:cs="Arial"/>
              </w:rPr>
              <w:t>A separate and more detailed Planning Enforcement Policy should be created in line with the guiding principles of the Council’s Corporate Enforcement Policy</w:t>
            </w:r>
          </w:p>
        </w:tc>
        <w:tc>
          <w:tcPr>
            <w:tcW w:w="4261" w:type="dxa"/>
            <w:shd w:val="clear" w:color="auto" w:fill="auto"/>
          </w:tcPr>
          <w:p w:rsidR="00C633E3" w:rsidRPr="009B5A50" w:rsidRDefault="00C633E3" w:rsidP="00FD18CB">
            <w:pPr>
              <w:rPr>
                <w:rFonts w:cs="Arial"/>
              </w:rPr>
            </w:pPr>
            <w:r w:rsidRPr="009B5A50">
              <w:rPr>
                <w:rFonts w:cs="Arial"/>
              </w:rPr>
              <w:t>An enforcement policy will be developed to go to CEB by December 2016</w:t>
            </w:r>
          </w:p>
        </w:tc>
      </w:tr>
      <w:tr w:rsidR="00C633E3" w:rsidRPr="009B5A50" w:rsidTr="00337BE1">
        <w:tc>
          <w:tcPr>
            <w:tcW w:w="4261" w:type="dxa"/>
            <w:shd w:val="clear" w:color="auto" w:fill="auto"/>
          </w:tcPr>
          <w:p w:rsidR="00C633E3" w:rsidRPr="009B5A50" w:rsidRDefault="00C633E3" w:rsidP="00FD18CB">
            <w:pPr>
              <w:rPr>
                <w:rFonts w:cs="Arial"/>
              </w:rPr>
            </w:pPr>
            <w:r w:rsidRPr="009B5A50">
              <w:rPr>
                <w:rFonts w:cs="Arial"/>
              </w:rPr>
              <w:t>Consideration should be given for each area and how they can become more proactive; subsequent actions then need to be taken to implement such initiatives</w:t>
            </w:r>
          </w:p>
        </w:tc>
        <w:tc>
          <w:tcPr>
            <w:tcW w:w="4261" w:type="dxa"/>
            <w:shd w:val="clear" w:color="auto" w:fill="auto"/>
          </w:tcPr>
          <w:p w:rsidR="00C633E3" w:rsidRPr="009B5A50" w:rsidRDefault="00C633E3" w:rsidP="00C633E3">
            <w:pPr>
              <w:rPr>
                <w:rFonts w:cs="Arial"/>
              </w:rPr>
            </w:pPr>
            <w:r w:rsidRPr="009B5A50">
              <w:rPr>
                <w:rFonts w:cs="Arial"/>
              </w:rPr>
              <w:t>A proactive approach will be developed to identify appropriate complex developments that may benefit from proactive compliance work.</w:t>
            </w:r>
          </w:p>
        </w:tc>
      </w:tr>
      <w:tr w:rsidR="00C633E3" w:rsidRPr="009B5A50" w:rsidTr="00337BE1">
        <w:tc>
          <w:tcPr>
            <w:tcW w:w="4261" w:type="dxa"/>
            <w:shd w:val="clear" w:color="auto" w:fill="auto"/>
          </w:tcPr>
          <w:p w:rsidR="00C633E3" w:rsidRPr="009B5A50" w:rsidRDefault="00C633E3" w:rsidP="00FD18CB">
            <w:pPr>
              <w:rPr>
                <w:rFonts w:cs="Arial"/>
              </w:rPr>
            </w:pPr>
            <w:r w:rsidRPr="009B5A50">
              <w:rPr>
                <w:rFonts w:cs="Arial"/>
              </w:rPr>
              <w:t>Discussion should be had to set out the KPI’s for all enforcement areas and these should then be reported and monitored by the Head of Planning and Regulatory Service at agreed intervals</w:t>
            </w:r>
          </w:p>
        </w:tc>
        <w:tc>
          <w:tcPr>
            <w:tcW w:w="4261" w:type="dxa"/>
            <w:shd w:val="clear" w:color="auto" w:fill="auto"/>
          </w:tcPr>
          <w:p w:rsidR="00C633E3" w:rsidRPr="009B5A50" w:rsidRDefault="00C633E3" w:rsidP="00FD18CB">
            <w:pPr>
              <w:rPr>
                <w:rFonts w:cs="Arial"/>
              </w:rPr>
            </w:pPr>
            <w:r w:rsidRPr="009B5A50">
              <w:rPr>
                <w:rFonts w:cs="Arial"/>
              </w:rPr>
              <w:t>Improve the reporting mechanism for planning enforcement actions</w:t>
            </w:r>
            <w:r w:rsidR="00224E97" w:rsidRPr="009B5A50">
              <w:rPr>
                <w:rFonts w:cs="Arial"/>
              </w:rPr>
              <w:t>:</w:t>
            </w:r>
            <w:r w:rsidRPr="009B5A50">
              <w:rPr>
                <w:rFonts w:cs="Arial"/>
              </w:rPr>
              <w:t xml:space="preserve"> </w:t>
            </w:r>
          </w:p>
          <w:p w:rsidR="00224E97" w:rsidRPr="009B5A50" w:rsidRDefault="00224E97" w:rsidP="009B5A50">
            <w:pPr>
              <w:numPr>
                <w:ilvl w:val="0"/>
                <w:numId w:val="6"/>
              </w:numPr>
              <w:rPr>
                <w:rFonts w:cs="Arial"/>
              </w:rPr>
            </w:pPr>
            <w:r w:rsidRPr="009B5A50">
              <w:rPr>
                <w:rFonts w:cs="Arial"/>
              </w:rPr>
              <w:t>Time take to respond to a complaint/potential breach</w:t>
            </w:r>
          </w:p>
          <w:p w:rsidR="00224E97" w:rsidRPr="009B5A50" w:rsidRDefault="00224E97" w:rsidP="009B5A50">
            <w:pPr>
              <w:numPr>
                <w:ilvl w:val="0"/>
                <w:numId w:val="6"/>
              </w:numPr>
              <w:rPr>
                <w:rFonts w:cs="Arial"/>
              </w:rPr>
            </w:pPr>
            <w:r w:rsidRPr="009B5A50">
              <w:rPr>
                <w:rFonts w:cs="Arial"/>
              </w:rPr>
              <w:t>Breaches analysed by the type and/or location</w:t>
            </w:r>
          </w:p>
          <w:p w:rsidR="00C633E3" w:rsidRPr="009B5A50" w:rsidRDefault="00224E97" w:rsidP="009B5A50">
            <w:pPr>
              <w:numPr>
                <w:ilvl w:val="0"/>
                <w:numId w:val="6"/>
              </w:numPr>
              <w:rPr>
                <w:rFonts w:cs="Arial"/>
              </w:rPr>
            </w:pPr>
            <w:r w:rsidRPr="009B5A50">
              <w:rPr>
                <w:rFonts w:cs="Arial"/>
              </w:rPr>
              <w:t>Time taken to close a case.</w:t>
            </w:r>
          </w:p>
        </w:tc>
      </w:tr>
    </w:tbl>
    <w:p w:rsidR="00FD18CB" w:rsidRDefault="00FD18CB" w:rsidP="00270313">
      <w:pPr>
        <w:rPr>
          <w:rFonts w:cs="Arial"/>
        </w:rPr>
      </w:pPr>
      <w:bookmarkStart w:id="0" w:name="_GoBack"/>
      <w:bookmarkEnd w:id="0"/>
    </w:p>
    <w:p w:rsidR="00FD18CB" w:rsidRPr="00FD18CB" w:rsidRDefault="00FD18CB" w:rsidP="00270313">
      <w:pPr>
        <w:rPr>
          <w:rFonts w:cs="Arial"/>
          <w:b/>
        </w:rPr>
      </w:pPr>
      <w:r w:rsidRPr="00FD18CB">
        <w:rPr>
          <w:rFonts w:cs="Arial"/>
          <w:b/>
        </w:rPr>
        <w:t xml:space="preserve">Next steps </w:t>
      </w:r>
    </w:p>
    <w:p w:rsidR="00FD18CB" w:rsidRDefault="00FD18CB" w:rsidP="00270313">
      <w:pPr>
        <w:rPr>
          <w:rFonts w:cs="Arial"/>
        </w:rPr>
      </w:pPr>
    </w:p>
    <w:p w:rsidR="00012F10" w:rsidRPr="008A7C79" w:rsidRDefault="00060DAF" w:rsidP="008A7C79">
      <w:pPr>
        <w:pStyle w:val="ListParagraph"/>
        <w:numPr>
          <w:ilvl w:val="0"/>
          <w:numId w:val="8"/>
        </w:numPr>
        <w:rPr>
          <w:rFonts w:cs="Arial"/>
        </w:rPr>
      </w:pPr>
      <w:r w:rsidRPr="008A7C79">
        <w:rPr>
          <w:rFonts w:cs="Arial"/>
        </w:rPr>
        <w:t>The Committ</w:t>
      </w:r>
      <w:r w:rsidR="00012F10" w:rsidRPr="008A7C79">
        <w:rPr>
          <w:rFonts w:cs="Arial"/>
        </w:rPr>
        <w:t>ee is asked to note the report</w:t>
      </w:r>
      <w:r w:rsidR="00935857" w:rsidRPr="008A7C79">
        <w:rPr>
          <w:rFonts w:cs="Arial"/>
        </w:rPr>
        <w:t xml:space="preserve"> and request an update on progress report in 12 </w:t>
      </w:r>
      <w:proofErr w:type="spellStart"/>
      <w:r w:rsidR="00935857" w:rsidRPr="008A7C79">
        <w:rPr>
          <w:rFonts w:cs="Arial"/>
        </w:rPr>
        <w:t>months time</w:t>
      </w:r>
      <w:proofErr w:type="spellEnd"/>
      <w:r w:rsidR="00FD18CB" w:rsidRPr="008A7C79">
        <w:rPr>
          <w:rFonts w:cs="Arial"/>
        </w:rPr>
        <w:t>.</w:t>
      </w:r>
      <w:r w:rsidRPr="008A7C79">
        <w:rPr>
          <w:rFonts w:cs="Arial"/>
        </w:rPr>
        <w:t xml:space="preserve"> </w:t>
      </w:r>
    </w:p>
    <w:p w:rsidR="00E111FD" w:rsidRPr="00270313" w:rsidRDefault="00E111FD" w:rsidP="00270313">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270313">
        <w:tc>
          <w:tcPr>
            <w:tcW w:w="8522" w:type="dxa"/>
          </w:tcPr>
          <w:p w:rsidR="00E111FD" w:rsidRPr="00270313" w:rsidRDefault="00E111FD" w:rsidP="00270313">
            <w:pPr>
              <w:tabs>
                <w:tab w:val="left" w:pos="720"/>
                <w:tab w:val="left" w:pos="1440"/>
                <w:tab w:val="left" w:pos="2160"/>
                <w:tab w:val="left" w:pos="2880"/>
              </w:tabs>
              <w:rPr>
                <w:b/>
                <w:bCs/>
              </w:rPr>
            </w:pPr>
          </w:p>
          <w:p w:rsidR="00713675" w:rsidRPr="00270313" w:rsidRDefault="00713675" w:rsidP="00270313">
            <w:pPr>
              <w:tabs>
                <w:tab w:val="left" w:pos="720"/>
                <w:tab w:val="left" w:pos="1440"/>
                <w:tab w:val="left" w:pos="2160"/>
                <w:tab w:val="left" w:pos="2880"/>
              </w:tabs>
            </w:pPr>
            <w:r w:rsidRPr="00270313">
              <w:rPr>
                <w:b/>
                <w:bCs/>
              </w:rPr>
              <w:t>Name and contact details of author:-</w:t>
            </w:r>
          </w:p>
        </w:tc>
      </w:tr>
      <w:tr w:rsidR="00713675" w:rsidRPr="00270313">
        <w:tc>
          <w:tcPr>
            <w:tcW w:w="8522" w:type="dxa"/>
          </w:tcPr>
          <w:p w:rsidR="00713675" w:rsidRPr="00270313" w:rsidRDefault="00713675" w:rsidP="00270313">
            <w:pPr>
              <w:tabs>
                <w:tab w:val="left" w:pos="720"/>
                <w:tab w:val="left" w:pos="1440"/>
                <w:tab w:val="left" w:pos="2160"/>
                <w:tab w:val="left" w:pos="2880"/>
              </w:tabs>
            </w:pPr>
          </w:p>
          <w:p w:rsidR="00713675" w:rsidRPr="00270313" w:rsidRDefault="00713675" w:rsidP="00270313">
            <w:pPr>
              <w:tabs>
                <w:tab w:val="left" w:pos="720"/>
                <w:tab w:val="left" w:pos="1440"/>
                <w:tab w:val="left" w:pos="2160"/>
                <w:tab w:val="left" w:pos="2880"/>
              </w:tabs>
            </w:pPr>
            <w:r w:rsidRPr="00270313">
              <w:t>Name</w:t>
            </w:r>
            <w:r w:rsidR="00DB6797">
              <w:t xml:space="preserve"> Ian Wright</w:t>
            </w:r>
          </w:p>
        </w:tc>
      </w:tr>
      <w:tr w:rsidR="00713675" w:rsidRPr="00270313">
        <w:tc>
          <w:tcPr>
            <w:tcW w:w="8522" w:type="dxa"/>
          </w:tcPr>
          <w:p w:rsidR="00713675" w:rsidRPr="00270313" w:rsidRDefault="00713675" w:rsidP="00270313">
            <w:pPr>
              <w:tabs>
                <w:tab w:val="left" w:pos="720"/>
                <w:tab w:val="left" w:pos="1440"/>
                <w:tab w:val="left" w:pos="2160"/>
                <w:tab w:val="left" w:pos="2880"/>
              </w:tabs>
            </w:pPr>
            <w:r w:rsidRPr="00270313">
              <w:t>Job title</w:t>
            </w:r>
            <w:r w:rsidR="00DB6797">
              <w:t xml:space="preserve"> Environmental Health service Manager </w:t>
            </w:r>
          </w:p>
        </w:tc>
      </w:tr>
      <w:tr w:rsidR="00713675" w:rsidRPr="00270313">
        <w:tc>
          <w:tcPr>
            <w:tcW w:w="8522" w:type="dxa"/>
          </w:tcPr>
          <w:p w:rsidR="00713675" w:rsidRPr="00270313" w:rsidRDefault="00713675" w:rsidP="00DB6797">
            <w:pPr>
              <w:tabs>
                <w:tab w:val="left" w:pos="720"/>
                <w:tab w:val="left" w:pos="1440"/>
                <w:tab w:val="left" w:pos="2160"/>
                <w:tab w:val="left" w:pos="2880"/>
              </w:tabs>
            </w:pPr>
            <w:r w:rsidRPr="00270313">
              <w:t>Service Area / Department</w:t>
            </w:r>
            <w:r w:rsidR="00DB6797">
              <w:t>: Planning and Regulatory Services</w:t>
            </w:r>
          </w:p>
        </w:tc>
      </w:tr>
      <w:tr w:rsidR="00713675" w:rsidRPr="00270313">
        <w:tc>
          <w:tcPr>
            <w:tcW w:w="8522" w:type="dxa"/>
          </w:tcPr>
          <w:p w:rsidR="00713675" w:rsidRPr="00270313" w:rsidRDefault="00713675" w:rsidP="00270313">
            <w:pPr>
              <w:tabs>
                <w:tab w:val="left" w:pos="720"/>
                <w:tab w:val="left" w:pos="1440"/>
                <w:tab w:val="left" w:pos="2160"/>
                <w:tab w:val="left" w:pos="2880"/>
              </w:tabs>
            </w:pPr>
            <w:r w:rsidRPr="00270313">
              <w:t xml:space="preserve">Tel:  01865 </w:t>
            </w:r>
            <w:r w:rsidR="00DB6797">
              <w:t>252553</w:t>
            </w:r>
            <w:r w:rsidRPr="00270313">
              <w:t xml:space="preserve">  e-mail:  </w:t>
            </w:r>
            <w:r w:rsidR="00DB6797">
              <w:t>iwright@oxford.gov.uk</w:t>
            </w:r>
          </w:p>
          <w:p w:rsidR="00E111FD" w:rsidRPr="00270313" w:rsidRDefault="00E111FD" w:rsidP="00270313">
            <w:pPr>
              <w:tabs>
                <w:tab w:val="left" w:pos="720"/>
                <w:tab w:val="left" w:pos="1440"/>
                <w:tab w:val="left" w:pos="2160"/>
                <w:tab w:val="left" w:pos="2880"/>
              </w:tabs>
              <w:rPr>
                <w:color w:val="0000FF"/>
                <w:u w:val="single"/>
              </w:rPr>
            </w:pPr>
          </w:p>
        </w:tc>
      </w:tr>
    </w:tbl>
    <w:p w:rsidR="00F4367A" w:rsidRPr="00270313" w:rsidRDefault="00F4367A" w:rsidP="00270313">
      <w:pPr>
        <w:rPr>
          <w:rFonts w:cs="Arial"/>
          <w:b/>
          <w:bCs/>
        </w:rPr>
      </w:pPr>
    </w:p>
    <w:p w:rsidR="00F4367A" w:rsidRPr="00270313" w:rsidRDefault="00F4367A" w:rsidP="00270313">
      <w:pPr>
        <w:rPr>
          <w:rFonts w:cs="Arial"/>
          <w:bCs/>
          <w:i/>
        </w:rPr>
      </w:pPr>
      <w:r w:rsidRPr="00270313">
        <w:rPr>
          <w:rFonts w:cs="Arial"/>
          <w:b/>
          <w:bCs/>
        </w:rPr>
        <w:t xml:space="preserve">List of background papers: </w:t>
      </w:r>
      <w:r w:rsidR="00DB6797">
        <w:rPr>
          <w:rFonts w:cs="Arial"/>
          <w:bCs/>
          <w:i/>
        </w:rPr>
        <w:t>None</w:t>
      </w:r>
    </w:p>
    <w:p w:rsidR="00F4367A" w:rsidRPr="00270313" w:rsidRDefault="00F4367A" w:rsidP="00270313">
      <w:pPr>
        <w:rPr>
          <w:b/>
          <w:bCs/>
        </w:rPr>
      </w:pPr>
      <w:r w:rsidRPr="00270313">
        <w:rPr>
          <w:b/>
          <w:bCs/>
        </w:rPr>
        <w:t>Version number:</w:t>
      </w:r>
      <w:r w:rsidR="00DB6797">
        <w:rPr>
          <w:b/>
          <w:bCs/>
        </w:rPr>
        <w:t xml:space="preserve"> 1.0</w:t>
      </w:r>
    </w:p>
    <w:sectPr w:rsidR="00F4367A" w:rsidRPr="00270313" w:rsidSect="008A7C79">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1F" w:rsidRDefault="00716F1F">
      <w:r>
        <w:separator/>
      </w:r>
    </w:p>
  </w:endnote>
  <w:endnote w:type="continuationSeparator" w:id="0">
    <w:p w:rsidR="00716F1F" w:rsidRDefault="0071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1F" w:rsidRDefault="00716F1F">
      <w:r>
        <w:separator/>
      </w:r>
    </w:p>
  </w:footnote>
  <w:footnote w:type="continuationSeparator" w:id="0">
    <w:p w:rsidR="00716F1F" w:rsidRDefault="0071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4D7"/>
    <w:multiLevelType w:val="hybridMultilevel"/>
    <w:tmpl w:val="1D98C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C6237"/>
    <w:multiLevelType w:val="hybridMultilevel"/>
    <w:tmpl w:val="33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8750A"/>
    <w:multiLevelType w:val="hybridMultilevel"/>
    <w:tmpl w:val="8240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00040"/>
    <w:multiLevelType w:val="hybridMultilevel"/>
    <w:tmpl w:val="7074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3811"/>
    <w:multiLevelType w:val="hybridMultilevel"/>
    <w:tmpl w:val="65201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1B4F12"/>
    <w:multiLevelType w:val="hybridMultilevel"/>
    <w:tmpl w:val="7138F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2B2AED"/>
    <w:multiLevelType w:val="hybridMultilevel"/>
    <w:tmpl w:val="20AE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4340C"/>
    <w:multiLevelType w:val="hybridMultilevel"/>
    <w:tmpl w:val="988A7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8467FB"/>
    <w:multiLevelType w:val="hybridMultilevel"/>
    <w:tmpl w:val="B202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D44AA"/>
    <w:multiLevelType w:val="hybridMultilevel"/>
    <w:tmpl w:val="CCC2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945BB"/>
    <w:multiLevelType w:val="hybridMultilevel"/>
    <w:tmpl w:val="960A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D40EF3"/>
    <w:multiLevelType w:val="hybridMultilevel"/>
    <w:tmpl w:val="42148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2"/>
  </w:num>
  <w:num w:numId="6">
    <w:abstractNumId w:val="7"/>
  </w:num>
  <w:num w:numId="7">
    <w:abstractNumId w:val="0"/>
  </w:num>
  <w:num w:numId="8">
    <w:abstractNumId w:val="8"/>
  </w:num>
  <w:num w:numId="9">
    <w:abstractNumId w:val="10"/>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13F71"/>
    <w:rsid w:val="00026916"/>
    <w:rsid w:val="000523FA"/>
    <w:rsid w:val="00056263"/>
    <w:rsid w:val="00060DAF"/>
    <w:rsid w:val="000C3928"/>
    <w:rsid w:val="001052DD"/>
    <w:rsid w:val="0012342A"/>
    <w:rsid w:val="00142474"/>
    <w:rsid w:val="00147446"/>
    <w:rsid w:val="001B2C20"/>
    <w:rsid w:val="001B3EE7"/>
    <w:rsid w:val="002018EA"/>
    <w:rsid w:val="00224E97"/>
    <w:rsid w:val="00270313"/>
    <w:rsid w:val="0029621F"/>
    <w:rsid w:val="002C5E41"/>
    <w:rsid w:val="002F6909"/>
    <w:rsid w:val="0030482F"/>
    <w:rsid w:val="003366D6"/>
    <w:rsid w:val="00337BE1"/>
    <w:rsid w:val="00432949"/>
    <w:rsid w:val="00465EAF"/>
    <w:rsid w:val="004B4407"/>
    <w:rsid w:val="004F76F2"/>
    <w:rsid w:val="00520370"/>
    <w:rsid w:val="005246C2"/>
    <w:rsid w:val="0052634D"/>
    <w:rsid w:val="00550AA4"/>
    <w:rsid w:val="005622E9"/>
    <w:rsid w:val="005626E1"/>
    <w:rsid w:val="005E0E70"/>
    <w:rsid w:val="005E1DE4"/>
    <w:rsid w:val="00605C6B"/>
    <w:rsid w:val="00620002"/>
    <w:rsid w:val="00623C2F"/>
    <w:rsid w:val="006367A2"/>
    <w:rsid w:val="006913B7"/>
    <w:rsid w:val="006D1912"/>
    <w:rsid w:val="006E75CA"/>
    <w:rsid w:val="006F416B"/>
    <w:rsid w:val="00701050"/>
    <w:rsid w:val="00713675"/>
    <w:rsid w:val="00716F1F"/>
    <w:rsid w:val="00740EED"/>
    <w:rsid w:val="0075175E"/>
    <w:rsid w:val="00767460"/>
    <w:rsid w:val="007E117D"/>
    <w:rsid w:val="0080607F"/>
    <w:rsid w:val="00855C66"/>
    <w:rsid w:val="008A7C79"/>
    <w:rsid w:val="008C1AD7"/>
    <w:rsid w:val="008D3DDB"/>
    <w:rsid w:val="00935857"/>
    <w:rsid w:val="00965260"/>
    <w:rsid w:val="00965AB2"/>
    <w:rsid w:val="00971025"/>
    <w:rsid w:val="00971689"/>
    <w:rsid w:val="00973E90"/>
    <w:rsid w:val="009820EA"/>
    <w:rsid w:val="009A2BB6"/>
    <w:rsid w:val="009B0B60"/>
    <w:rsid w:val="009B5A50"/>
    <w:rsid w:val="009B6ED5"/>
    <w:rsid w:val="009C1036"/>
    <w:rsid w:val="009D53A2"/>
    <w:rsid w:val="009D550B"/>
    <w:rsid w:val="009F161C"/>
    <w:rsid w:val="009F70BA"/>
    <w:rsid w:val="00A51C02"/>
    <w:rsid w:val="00A77B3F"/>
    <w:rsid w:val="00A92D8F"/>
    <w:rsid w:val="00AB11C2"/>
    <w:rsid w:val="00AD3292"/>
    <w:rsid w:val="00AD7522"/>
    <w:rsid w:val="00AD7560"/>
    <w:rsid w:val="00AE5AB8"/>
    <w:rsid w:val="00B06B7C"/>
    <w:rsid w:val="00B80E92"/>
    <w:rsid w:val="00C242AA"/>
    <w:rsid w:val="00C2692F"/>
    <w:rsid w:val="00C633E3"/>
    <w:rsid w:val="00C672A1"/>
    <w:rsid w:val="00CB45CA"/>
    <w:rsid w:val="00CE4027"/>
    <w:rsid w:val="00D35C6D"/>
    <w:rsid w:val="00D70052"/>
    <w:rsid w:val="00D864B0"/>
    <w:rsid w:val="00DA1091"/>
    <w:rsid w:val="00DB6797"/>
    <w:rsid w:val="00DD5609"/>
    <w:rsid w:val="00DD6A2D"/>
    <w:rsid w:val="00DF344E"/>
    <w:rsid w:val="00E01F42"/>
    <w:rsid w:val="00E111FD"/>
    <w:rsid w:val="00E30917"/>
    <w:rsid w:val="00E4599A"/>
    <w:rsid w:val="00E923CE"/>
    <w:rsid w:val="00EA0DB1"/>
    <w:rsid w:val="00EC17AB"/>
    <w:rsid w:val="00ED4337"/>
    <w:rsid w:val="00EF3C59"/>
    <w:rsid w:val="00F074E6"/>
    <w:rsid w:val="00F337F8"/>
    <w:rsid w:val="00F360DB"/>
    <w:rsid w:val="00F4367A"/>
    <w:rsid w:val="00F75D23"/>
    <w:rsid w:val="00F7606D"/>
    <w:rsid w:val="00F91FBA"/>
    <w:rsid w:val="00FA624C"/>
    <w:rsid w:val="00FB520B"/>
    <w:rsid w:val="00FD18CB"/>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96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0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96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0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420">
      <w:bodyDiv w:val="1"/>
      <w:marLeft w:val="0"/>
      <w:marRight w:val="0"/>
      <w:marTop w:val="0"/>
      <w:marBottom w:val="0"/>
      <w:divBdr>
        <w:top w:val="none" w:sz="0" w:space="0" w:color="auto"/>
        <w:left w:val="none" w:sz="0" w:space="0" w:color="auto"/>
        <w:bottom w:val="none" w:sz="0" w:space="0" w:color="auto"/>
        <w:right w:val="none" w:sz="0" w:space="0" w:color="auto"/>
      </w:divBdr>
    </w:div>
    <w:div w:id="1634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1504</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9</cp:revision>
  <cp:lastPrinted>2016-05-19T10:18:00Z</cp:lastPrinted>
  <dcterms:created xsi:type="dcterms:W3CDTF">2016-05-19T15:42:00Z</dcterms:created>
  <dcterms:modified xsi:type="dcterms:W3CDTF">2016-05-24T10:47:00Z</dcterms:modified>
</cp:coreProperties>
</file>